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471" w:rsidRPr="00243B71" w:rsidRDefault="000E3471" w:rsidP="008C28F8">
      <w:pPr>
        <w:pStyle w:val="Heading1"/>
        <w:spacing w:before="22"/>
        <w:jc w:val="center"/>
        <w:rPr>
          <w:rFonts w:ascii="Minion Pro" w:hAnsi="Minion Pro" w:cstheme="minorHAnsi"/>
          <w:b/>
          <w:color w:val="auto"/>
          <w:sz w:val="28"/>
          <w:szCs w:val="24"/>
        </w:rPr>
      </w:pPr>
      <w:bookmarkStart w:id="0" w:name="_GoBack"/>
      <w:bookmarkEnd w:id="0"/>
      <w:r w:rsidRPr="00243B71">
        <w:rPr>
          <w:rFonts w:ascii="Minion Pro" w:hAnsi="Minion Pro" w:cstheme="minorHAnsi"/>
          <w:b/>
          <w:color w:val="auto"/>
          <w:sz w:val="28"/>
          <w:szCs w:val="24"/>
        </w:rPr>
        <w:t xml:space="preserve">TILT: Frequently Asked Questions </w:t>
      </w:r>
    </w:p>
    <w:p w:rsidR="000E3471" w:rsidRPr="00531688" w:rsidRDefault="000E3471" w:rsidP="008C28F8">
      <w:pPr>
        <w:pStyle w:val="BodyText"/>
        <w:jc w:val="center"/>
        <w:rPr>
          <w:rFonts w:ascii="Minion Pro" w:hAnsi="Minion Pro"/>
        </w:rPr>
      </w:pPr>
      <w:r w:rsidRPr="00531688">
        <w:rPr>
          <w:rFonts w:ascii="Minion Pro" w:hAnsi="Minion Pro"/>
        </w:rPr>
        <w:t>2020 UAA Annual Academic Assessment Seminar/Core Competency Kick Off</w:t>
      </w:r>
      <w:r w:rsidRPr="00531688">
        <w:rPr>
          <w:rFonts w:ascii="Minion Pro" w:hAnsi="Minion Pro"/>
        </w:rPr>
        <w:br/>
        <w:t>September 18, 2020</w:t>
      </w:r>
    </w:p>
    <w:p w:rsidR="000E3471" w:rsidRPr="00531688" w:rsidRDefault="000E3471" w:rsidP="0032569F">
      <w:pPr>
        <w:spacing w:after="240" w:line="240" w:lineRule="auto"/>
        <w:ind w:firstLine="720"/>
        <w:rPr>
          <w:rFonts w:ascii="Minion Pro" w:eastAsia="Times New Roman" w:hAnsi="Minion Pro" w:cstheme="minorHAnsi"/>
          <w:bCs/>
          <w:color w:val="000000"/>
          <w:sz w:val="24"/>
          <w:szCs w:val="24"/>
        </w:rPr>
      </w:pPr>
    </w:p>
    <w:p w:rsidR="009C4AE2" w:rsidRPr="00531688" w:rsidRDefault="000E3471" w:rsidP="0032569F">
      <w:pPr>
        <w:spacing w:after="240" w:line="240" w:lineRule="auto"/>
        <w:ind w:firstLine="720"/>
        <w:rPr>
          <w:rFonts w:ascii="Minion Pro" w:eastAsia="Times New Roman" w:hAnsi="Minion Pro" w:cstheme="minorHAnsi"/>
          <w:bCs/>
          <w:color w:val="000000"/>
          <w:sz w:val="24"/>
          <w:szCs w:val="24"/>
        </w:rPr>
      </w:pPr>
      <w:r w:rsidRPr="00531688">
        <w:rPr>
          <w:rFonts w:ascii="Minion Pro" w:eastAsia="Times New Roman" w:hAnsi="Minion Pro" w:cstheme="minorHAnsi"/>
          <w:bCs/>
          <w:color w:val="000000"/>
          <w:sz w:val="24"/>
          <w:szCs w:val="24"/>
        </w:rPr>
        <w:t xml:space="preserve">In the videos for UAA, </w:t>
      </w:r>
      <w:r w:rsidR="009C4AE2" w:rsidRPr="00531688">
        <w:rPr>
          <w:rFonts w:ascii="Minion Pro" w:eastAsia="Times New Roman" w:hAnsi="Minion Pro" w:cstheme="minorHAnsi"/>
          <w:bCs/>
          <w:color w:val="000000"/>
          <w:sz w:val="24"/>
          <w:szCs w:val="24"/>
        </w:rPr>
        <w:t>we looked at the research surrounding the Transparency in Learning and Teaching Project, the TILT Project, and talked about why transparent assignment design is an equitable teaching practice that levels the playing field for our at risk students who may be underprepared for coursework or first generation students who may not realize our expectations or strategies that they can incorporate for success. As we discussed, we know that transparent assignment design helps these students in a statistically significant way AND helps ALL students to understand why they are being asked to complete work (the purpose), how they should go about it (the task)</w:t>
      </w:r>
      <w:r w:rsidR="00BA2CF9">
        <w:rPr>
          <w:rFonts w:ascii="Minion Pro" w:eastAsia="Times New Roman" w:hAnsi="Minion Pro" w:cstheme="minorHAnsi"/>
          <w:bCs/>
          <w:color w:val="000000"/>
          <w:sz w:val="24"/>
          <w:szCs w:val="24"/>
        </w:rPr>
        <w:t>,</w:t>
      </w:r>
      <w:r w:rsidR="009C4AE2" w:rsidRPr="00531688">
        <w:rPr>
          <w:rFonts w:ascii="Minion Pro" w:eastAsia="Times New Roman" w:hAnsi="Minion Pro" w:cstheme="minorHAnsi"/>
          <w:bCs/>
          <w:color w:val="000000"/>
          <w:sz w:val="24"/>
          <w:szCs w:val="24"/>
        </w:rPr>
        <w:t xml:space="preserve"> and how they will be evaluated (the criteria). This purpose-task-criteria is the foundation of transparent assignment design. </w:t>
      </w:r>
    </w:p>
    <w:p w:rsidR="000E3471" w:rsidRPr="00531688" w:rsidRDefault="000E3471" w:rsidP="0032569F">
      <w:pPr>
        <w:spacing w:after="240" w:line="240" w:lineRule="auto"/>
        <w:ind w:firstLine="720"/>
        <w:rPr>
          <w:rFonts w:ascii="Minion Pro" w:eastAsia="Times New Roman" w:hAnsi="Minion Pro" w:cstheme="minorHAnsi"/>
          <w:bCs/>
          <w:color w:val="000000"/>
          <w:sz w:val="24"/>
          <w:szCs w:val="24"/>
        </w:rPr>
      </w:pPr>
      <w:r w:rsidRPr="00531688">
        <w:rPr>
          <w:rFonts w:ascii="Minion Pro" w:eastAsia="Times New Roman" w:hAnsi="Minion Pro" w:cstheme="minorHAnsi"/>
          <w:bCs/>
          <w:color w:val="000000"/>
          <w:sz w:val="24"/>
          <w:szCs w:val="24"/>
        </w:rPr>
        <w:t xml:space="preserve">In this document, I will address several of the commonly asked questions about TILT that we did not address in the videos. </w:t>
      </w:r>
    </w:p>
    <w:p w:rsidR="001A6205" w:rsidRPr="00531688" w:rsidRDefault="001A6205" w:rsidP="001A6205">
      <w:pPr>
        <w:rPr>
          <w:rFonts w:ascii="Minion Pro" w:hAnsi="Minion Pro"/>
          <w:sz w:val="24"/>
          <w:szCs w:val="24"/>
        </w:rPr>
      </w:pPr>
      <w:r w:rsidRPr="00531688">
        <w:rPr>
          <w:rFonts w:ascii="Minion Pro" w:hAnsi="Minion Pro"/>
          <w:noProof/>
          <w:sz w:val="24"/>
          <w:szCs w:val="24"/>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67310</wp:posOffset>
                </wp:positionV>
                <wp:extent cx="6710363" cy="9525"/>
                <wp:effectExtent l="0" t="0" r="33655" b="28575"/>
                <wp:wrapNone/>
                <wp:docPr id="1" name="Straight Connector 1" title="''"/>
                <wp:cNvGraphicFramePr/>
                <a:graphic xmlns:a="http://schemas.openxmlformats.org/drawingml/2006/main">
                  <a:graphicData uri="http://schemas.microsoft.com/office/word/2010/wordprocessingShape">
                    <wps:wsp>
                      <wps:cNvCnPr/>
                      <wps:spPr>
                        <a:xfrm flipV="1">
                          <a:off x="0" y="0"/>
                          <a:ext cx="6710363" cy="9525"/>
                        </a:xfrm>
                        <a:prstGeom prst="line">
                          <a:avLst/>
                        </a:prstGeom>
                        <a:ln>
                          <a:solidFill>
                            <a:srgbClr val="00583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47F19D" id="Straight Connector 1" o:spid="_x0000_s1026" alt="Title: ''"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5.3pt" to="528.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" strokecolor="#00583d" strokeweight=".5pt">
                <v:stroke joinstyle="miter"/>
              </v:line>
            </w:pict>
          </mc:Fallback>
        </mc:AlternateContent>
      </w:r>
    </w:p>
    <w:p w:rsidR="000E3471" w:rsidRPr="00531688" w:rsidRDefault="000E3471" w:rsidP="0067463E">
      <w:pPr>
        <w:pStyle w:val="Heading2"/>
        <w:spacing w:after="240"/>
        <w:rPr>
          <w:rFonts w:ascii="Minion Pro" w:hAnsi="Minion Pro"/>
        </w:rPr>
      </w:pPr>
      <w:r w:rsidRPr="00531688">
        <w:rPr>
          <w:rFonts w:ascii="Minion Pro" w:hAnsi="Minion Pro"/>
        </w:rPr>
        <w:t xml:space="preserve">What do you do </w:t>
      </w:r>
      <w:r w:rsidR="001A6205" w:rsidRPr="00531688">
        <w:rPr>
          <w:rFonts w:ascii="Minion Pro" w:hAnsi="Minion Pro"/>
        </w:rPr>
        <w:t>BEFORE you g</w:t>
      </w:r>
      <w:r w:rsidRPr="00531688">
        <w:rPr>
          <w:rFonts w:ascii="Minion Pro" w:hAnsi="Minion Pro"/>
        </w:rPr>
        <w:t xml:space="preserve">ive your students a transparent assignment? </w:t>
      </w:r>
    </w:p>
    <w:p w:rsidR="007D033D" w:rsidRPr="00531688" w:rsidRDefault="006B1397" w:rsidP="00981544">
      <w:pPr>
        <w:pStyle w:val="NormalWeb"/>
        <w:spacing w:before="0" w:beforeAutospacing="0" w:after="0" w:afterAutospacing="0"/>
        <w:ind w:firstLine="720"/>
        <w:rPr>
          <w:rFonts w:ascii="Minion Pro" w:hAnsi="Minion Pro" w:cstheme="minorHAnsi"/>
          <w:color w:val="000000"/>
        </w:rPr>
      </w:pPr>
      <w:r w:rsidRPr="00531688">
        <w:rPr>
          <w:rFonts w:ascii="Minion Pro" w:hAnsi="Minion Pro" w:cstheme="minorHAnsi"/>
          <w:bCs/>
          <w:color w:val="000000"/>
        </w:rPr>
        <w:t>Let’s start with transparent teaching:</w:t>
      </w:r>
      <w:r w:rsidRPr="00531688">
        <w:rPr>
          <w:rFonts w:ascii="Minion Pro" w:hAnsi="Minion Pro" w:cstheme="minorHAnsi"/>
          <w:b/>
          <w:bCs/>
          <w:color w:val="000000"/>
        </w:rPr>
        <w:t xml:space="preserve"> </w:t>
      </w:r>
      <w:r w:rsidR="000E3471" w:rsidRPr="00531688">
        <w:rPr>
          <w:rFonts w:ascii="Minion Pro" w:hAnsi="Minion Pro" w:cstheme="minorHAnsi"/>
          <w:color w:val="000000"/>
        </w:rPr>
        <w:t xml:space="preserve">An important </w:t>
      </w:r>
      <w:r w:rsidR="007D033D" w:rsidRPr="00531688">
        <w:rPr>
          <w:rFonts w:ascii="Minion Pro" w:hAnsi="Minion Pro" w:cstheme="minorHAnsi"/>
          <w:color w:val="000000"/>
        </w:rPr>
        <w:t xml:space="preserve">final step in offering transparency around academic assignments </w:t>
      </w:r>
      <w:r w:rsidR="000E3471" w:rsidRPr="00531688">
        <w:rPr>
          <w:rFonts w:ascii="Minion Pro" w:hAnsi="Minion Pro" w:cstheme="minorHAnsi"/>
          <w:color w:val="000000"/>
        </w:rPr>
        <w:t xml:space="preserve">suggests that </w:t>
      </w:r>
      <w:r w:rsidR="007D033D" w:rsidRPr="00531688">
        <w:rPr>
          <w:rFonts w:ascii="Minion Pro" w:hAnsi="Minion Pro" w:cstheme="minorHAnsi"/>
          <w:color w:val="000000"/>
        </w:rPr>
        <w:t>faculty offer their students transparency about transparency, and to seek out the expertise of the students themselves. Sharing the rationale behind any evidence-based teaching strategy can enhance students' metacognitive awareness while increasing their attention to monito</w:t>
      </w:r>
      <w:r w:rsidR="00B4739B" w:rsidRPr="00531688">
        <w:rPr>
          <w:rFonts w:ascii="Minion Pro" w:hAnsi="Minion Pro" w:cstheme="minorHAnsi"/>
          <w:color w:val="000000"/>
        </w:rPr>
        <w:t xml:space="preserve">ring their own learning process. </w:t>
      </w:r>
      <w:r w:rsidR="007D033D" w:rsidRPr="00531688">
        <w:rPr>
          <w:rFonts w:ascii="Minion Pro" w:hAnsi="Minion Pro" w:cstheme="minorHAnsi"/>
          <w:color w:val="000000"/>
        </w:rPr>
        <w:t xml:space="preserve">Simply telling students clearly about the anticipated learning goals deprives them of this metacognitive preparation. </w:t>
      </w:r>
      <w:r w:rsidR="004C202F" w:rsidRPr="00531688">
        <w:rPr>
          <w:rFonts w:ascii="Minion Pro" w:hAnsi="Minion Pro" w:cstheme="minorHAnsi"/>
          <w:color w:val="000000"/>
        </w:rPr>
        <w:t xml:space="preserve">We have </w:t>
      </w:r>
      <w:r w:rsidR="007D033D" w:rsidRPr="00531688">
        <w:rPr>
          <w:rFonts w:ascii="Minion Pro" w:hAnsi="Minion Pro" w:cstheme="minorHAnsi"/>
          <w:color w:val="000000"/>
        </w:rPr>
        <w:t xml:space="preserve">discovered that students </w:t>
      </w:r>
      <w:r w:rsidR="004C202F" w:rsidRPr="00531688">
        <w:rPr>
          <w:rFonts w:ascii="Minion Pro" w:hAnsi="Minion Pro" w:cstheme="minorHAnsi"/>
          <w:color w:val="000000"/>
        </w:rPr>
        <w:t xml:space="preserve">may be </w:t>
      </w:r>
      <w:r w:rsidR="007D033D" w:rsidRPr="00531688">
        <w:rPr>
          <w:rFonts w:ascii="Minion Pro" w:hAnsi="Minion Pro" w:cstheme="minorHAnsi"/>
          <w:color w:val="000000"/>
        </w:rPr>
        <w:t>the best experts on how to make an assignment transparent to them. </w:t>
      </w:r>
      <w:r w:rsidR="004C202F" w:rsidRPr="00531688">
        <w:rPr>
          <w:rFonts w:ascii="Minion Pro" w:hAnsi="Minion Pro" w:cstheme="minorHAnsi"/>
          <w:color w:val="000000"/>
        </w:rPr>
        <w:t xml:space="preserve">But how do you do this? </w:t>
      </w:r>
      <w:r w:rsidR="00B4739B" w:rsidRPr="00531688">
        <w:rPr>
          <w:rFonts w:ascii="Minion Pro" w:hAnsi="Minion Pro" w:cstheme="minorHAnsi"/>
          <w:color w:val="000000"/>
        </w:rPr>
        <w:br/>
      </w:r>
    </w:p>
    <w:p w:rsidR="007D033D" w:rsidRPr="00531688" w:rsidRDefault="004C202F" w:rsidP="00981544">
      <w:pPr>
        <w:pStyle w:val="NormalWeb"/>
        <w:spacing w:before="0" w:beforeAutospacing="0" w:after="0" w:afterAutospacing="0"/>
        <w:ind w:firstLine="720"/>
        <w:rPr>
          <w:rFonts w:ascii="Minion Pro" w:hAnsi="Minion Pro" w:cstheme="minorHAnsi"/>
          <w:color w:val="000000"/>
        </w:rPr>
      </w:pPr>
      <w:r w:rsidRPr="00531688">
        <w:rPr>
          <w:rFonts w:ascii="Minion Pro" w:hAnsi="Minion Pro" w:cstheme="minorHAnsi"/>
          <w:b/>
          <w:color w:val="000000"/>
        </w:rPr>
        <w:t>Have a discussion with students about the assignment.</w:t>
      </w:r>
      <w:r w:rsidRPr="00531688">
        <w:rPr>
          <w:rFonts w:ascii="Minion Pro" w:hAnsi="Minion Pro" w:cstheme="minorHAnsi"/>
          <w:color w:val="000000"/>
        </w:rPr>
        <w:t xml:space="preserve"> Some faculty don’t even give students the assignment until they’ve talked about it first using the purpose-task-criteria model. The written assignment “backs up” the discussion. Teachers who provide both written instructions and a discussion actually provide greater access to students who might have missed that one class discussion about the assignment, or who would benefit from seeing the purpose-task-criteria framework for their work in written form. </w:t>
      </w:r>
      <w:r w:rsidR="003E03BF" w:rsidRPr="00531688">
        <w:rPr>
          <w:rFonts w:ascii="Minion Pro" w:hAnsi="Minion Pro" w:cstheme="minorHAnsi"/>
          <w:color w:val="000000"/>
        </w:rPr>
        <w:t>So your job with transparent teaching is to “SET UP” the assignment and involve your students. Maybe you do this through questions (</w:t>
      </w:r>
      <w:r w:rsidR="000E3471" w:rsidRPr="00531688">
        <w:rPr>
          <w:rFonts w:ascii="Minion Pro" w:hAnsi="Minion Pro" w:cstheme="minorHAnsi"/>
          <w:i/>
          <w:color w:val="000000"/>
        </w:rPr>
        <w:t>W</w:t>
      </w:r>
      <w:r w:rsidR="003E03BF" w:rsidRPr="00531688">
        <w:rPr>
          <w:rFonts w:ascii="Minion Pro" w:hAnsi="Minion Pro" w:cstheme="minorHAnsi"/>
          <w:i/>
          <w:color w:val="000000"/>
        </w:rPr>
        <w:t>hat kind of resources might you use? What do you think I’m asking you do to? Why do you think this is important? Where do you plan to start?)</w:t>
      </w:r>
      <w:r w:rsidR="003E03BF" w:rsidRPr="00531688">
        <w:rPr>
          <w:rFonts w:ascii="Minion Pro" w:hAnsi="Minion Pro" w:cstheme="minorHAnsi"/>
          <w:color w:val="000000"/>
        </w:rPr>
        <w:t xml:space="preserve"> You probably already do this any time you talk about an assignment. </w:t>
      </w:r>
      <w:r w:rsidRPr="00531688">
        <w:rPr>
          <w:rFonts w:ascii="Minion Pro" w:hAnsi="Minion Pro" w:cstheme="minorHAnsi"/>
          <w:color w:val="000000"/>
        </w:rPr>
        <w:t xml:space="preserve">We found in our </w:t>
      </w:r>
      <w:r w:rsidR="007D033D" w:rsidRPr="00531688">
        <w:rPr>
          <w:rFonts w:ascii="Minion Pro" w:hAnsi="Minion Pro" w:cstheme="minorHAnsi"/>
          <w:color w:val="000000"/>
        </w:rPr>
        <w:t xml:space="preserve">initial TILT studies </w:t>
      </w:r>
      <w:r w:rsidRPr="00531688">
        <w:rPr>
          <w:rFonts w:ascii="Minion Pro" w:hAnsi="Minion Pro" w:cstheme="minorHAnsi"/>
          <w:color w:val="000000"/>
        </w:rPr>
        <w:t xml:space="preserve">that teachers </w:t>
      </w:r>
      <w:r w:rsidR="007D033D" w:rsidRPr="00531688">
        <w:rPr>
          <w:rFonts w:ascii="Minion Pro" w:hAnsi="Minion Pro" w:cstheme="minorHAnsi"/>
          <w:color w:val="000000"/>
        </w:rPr>
        <w:t>continue to revise their already transparent assignments as they work with new groups of students who offer dif</w:t>
      </w:r>
      <w:r w:rsidR="00531688">
        <w:rPr>
          <w:rFonts w:ascii="Minion Pro" w:hAnsi="Minion Pro" w:cstheme="minorHAnsi"/>
          <w:color w:val="000000"/>
        </w:rPr>
        <w:t>ferent questions and insights.</w:t>
      </w:r>
    </w:p>
    <w:p w:rsidR="003E03BF" w:rsidRPr="00531688" w:rsidRDefault="003E03BF" w:rsidP="00981544">
      <w:pPr>
        <w:pStyle w:val="NormalWeb"/>
        <w:spacing w:before="0" w:beforeAutospacing="0" w:after="0" w:afterAutospacing="0"/>
        <w:ind w:firstLine="720"/>
        <w:rPr>
          <w:rFonts w:ascii="Minion Pro" w:hAnsi="Minion Pro" w:cstheme="minorHAnsi"/>
          <w:color w:val="000000"/>
        </w:rPr>
      </w:pPr>
      <w:r w:rsidRPr="00531688">
        <w:rPr>
          <w:rFonts w:ascii="Minion Pro" w:hAnsi="Minion Pro" w:cstheme="minorHAnsi"/>
          <w:noProof/>
          <w:color w:val="000000"/>
        </w:rPr>
        <mc:AlternateContent>
          <mc:Choice Requires="wps">
            <w:drawing>
              <wp:anchor distT="0" distB="0" distL="114300" distR="114300" simplePos="0" relativeHeight="251660288" behindDoc="0" locked="0" layoutInCell="1" allowOverlap="1">
                <wp:simplePos x="0" y="0"/>
                <wp:positionH relativeFrom="column">
                  <wp:posOffset>33337</wp:posOffset>
                </wp:positionH>
                <wp:positionV relativeFrom="paragraph">
                  <wp:posOffset>155258</wp:posOffset>
                </wp:positionV>
                <wp:extent cx="6662737" cy="4762"/>
                <wp:effectExtent l="0" t="0" r="24130" b="33655"/>
                <wp:wrapNone/>
                <wp:docPr id="2" name="Straight Connector 2" title="''"/>
                <wp:cNvGraphicFramePr/>
                <a:graphic xmlns:a="http://schemas.openxmlformats.org/drawingml/2006/main">
                  <a:graphicData uri="http://schemas.microsoft.com/office/word/2010/wordprocessingShape">
                    <wps:wsp>
                      <wps:cNvCnPr/>
                      <wps:spPr>
                        <a:xfrm flipV="1">
                          <a:off x="0" y="0"/>
                          <a:ext cx="6662737" cy="4762"/>
                        </a:xfrm>
                        <a:prstGeom prst="line">
                          <a:avLst/>
                        </a:prstGeom>
                        <a:ln>
                          <a:solidFill>
                            <a:srgbClr val="00583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7E57A6" id="Straight Connector 2" o:spid="_x0000_s1026" alt="Title: ''"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6pt,12.25pt" to="527.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" strokecolor="#00583d" strokeweight=".5pt">
                <v:stroke joinstyle="miter"/>
              </v:line>
            </w:pict>
          </mc:Fallback>
        </mc:AlternateContent>
      </w:r>
    </w:p>
    <w:p w:rsidR="00B4739B" w:rsidRPr="00531688" w:rsidRDefault="00B4739B" w:rsidP="00981544">
      <w:pPr>
        <w:pStyle w:val="NormalWeb"/>
        <w:spacing w:before="0" w:beforeAutospacing="0" w:after="0" w:afterAutospacing="0"/>
        <w:ind w:firstLine="720"/>
        <w:rPr>
          <w:rFonts w:ascii="Minion Pro" w:hAnsi="Minion Pro" w:cstheme="minorHAnsi"/>
          <w:color w:val="000000"/>
        </w:rPr>
      </w:pPr>
    </w:p>
    <w:p w:rsidR="006876DA" w:rsidRDefault="006876DA">
      <w:pPr>
        <w:rPr>
          <w:rFonts w:ascii="Minion Pro" w:eastAsia="Times New Roman" w:hAnsi="Minion Pro" w:cstheme="minorHAnsi"/>
          <w:b/>
          <w:bCs/>
          <w:color w:val="000000"/>
          <w:sz w:val="24"/>
          <w:szCs w:val="24"/>
        </w:rPr>
      </w:pPr>
      <w:r>
        <w:rPr>
          <w:rFonts w:ascii="Minion Pro" w:hAnsi="Minion Pro"/>
        </w:rPr>
        <w:br w:type="page"/>
      </w:r>
    </w:p>
    <w:p w:rsidR="00981544" w:rsidRPr="00531688" w:rsidRDefault="00981544" w:rsidP="0067463E">
      <w:pPr>
        <w:pStyle w:val="Heading2"/>
        <w:spacing w:after="240"/>
        <w:rPr>
          <w:rFonts w:ascii="Minion Pro" w:hAnsi="Minion Pro"/>
        </w:rPr>
      </w:pPr>
      <w:r w:rsidRPr="00531688">
        <w:rPr>
          <w:rFonts w:ascii="Minion Pro" w:hAnsi="Minion Pro"/>
        </w:rPr>
        <w:lastRenderedPageBreak/>
        <w:t xml:space="preserve">Is there such a thing as too much transparency? </w:t>
      </w:r>
    </w:p>
    <w:p w:rsidR="007D033D" w:rsidRPr="00531688" w:rsidRDefault="007D033D" w:rsidP="00981544">
      <w:pPr>
        <w:pStyle w:val="NormalWeb"/>
        <w:spacing w:before="0" w:beforeAutospacing="0" w:after="0" w:afterAutospacing="0"/>
        <w:ind w:firstLine="720"/>
        <w:rPr>
          <w:rFonts w:ascii="Minion Pro" w:hAnsi="Minion Pro" w:cstheme="minorHAnsi"/>
          <w:b/>
          <w:color w:val="000000"/>
        </w:rPr>
      </w:pPr>
      <w:r w:rsidRPr="00531688">
        <w:rPr>
          <w:rFonts w:ascii="Minion Pro" w:hAnsi="Minion Pro" w:cstheme="minorHAnsi"/>
          <w:color w:val="000000"/>
        </w:rPr>
        <w:t>While transparency can help students, too much transparency may be unnecessary or overwhelming. You can adjust the amount of detail, providing less information about purposes and criteria for introductory students and more for advanced students. For introductory students, a full rubric with multiple columns and rows</w:t>
      </w:r>
      <w:r w:rsidR="00981544" w:rsidRPr="00531688">
        <w:rPr>
          <w:rFonts w:ascii="Minion Pro" w:hAnsi="Minion Pro" w:cstheme="minorHAnsi"/>
          <w:color w:val="000000"/>
        </w:rPr>
        <w:t xml:space="preserve"> </w:t>
      </w:r>
      <w:r w:rsidRPr="00531688">
        <w:rPr>
          <w:rFonts w:ascii="Minion Pro" w:hAnsi="Minion Pro" w:cstheme="minorHAnsi"/>
          <w:color w:val="000000"/>
        </w:rPr>
        <w:t xml:space="preserve">may offer more detail about criteria than students need or understand. A simple checklist and an opportunity to discuss and apply the criteria to examples of work may provide enough help. Introductory students may benefit from a more detailed description of tasks, while upper level or graduate students need less detailed guidance on each step to be taken and more information about criteria.  </w:t>
      </w:r>
      <w:r w:rsidRPr="00531688">
        <w:rPr>
          <w:rFonts w:ascii="Minion Pro" w:hAnsi="Minion Pro" w:cstheme="minorHAnsi"/>
          <w:b/>
          <w:color w:val="000000"/>
        </w:rPr>
        <w:t>Teachers tend to offer less detail about purposes, tasks and criteria for low-stakes assignments and in-class exercises, while they offer more purpose-task-criteria information about final projects and other high-stakes work that can substantially affect a student's course grade.</w:t>
      </w:r>
    </w:p>
    <w:p w:rsidR="00E114FA" w:rsidRPr="00531688" w:rsidRDefault="003E03BF" w:rsidP="00734DDF">
      <w:pPr>
        <w:pStyle w:val="Heading2"/>
        <w:spacing w:after="240"/>
        <w:rPr>
          <w:rFonts w:ascii="Minion Pro" w:hAnsi="Minion Pro"/>
        </w:rPr>
      </w:pPr>
      <w:r w:rsidRPr="00531688">
        <w:rPr>
          <w:rFonts w:ascii="Minion Pro" w:hAnsi="Minion Pro"/>
        </w:rPr>
        <w:br/>
      </w:r>
      <w:r w:rsidR="000E3471" w:rsidRPr="00531688">
        <w:rPr>
          <w:rFonts w:ascii="Minion Pro" w:hAnsi="Minion Pro"/>
        </w:rPr>
        <w:t>What about content coverage!?</w:t>
      </w:r>
    </w:p>
    <w:p w:rsidR="00F00BB2" w:rsidRPr="00531688" w:rsidRDefault="00F00BB2" w:rsidP="00CE2979">
      <w:pPr>
        <w:rPr>
          <w:rFonts w:ascii="Minion Pro" w:hAnsi="Minion Pro"/>
          <w:sz w:val="24"/>
          <w:szCs w:val="24"/>
        </w:rPr>
      </w:pPr>
      <w:r w:rsidRPr="00531688">
        <w:rPr>
          <w:rFonts w:ascii="Minion Pro" w:hAnsi="Minion Pro"/>
          <w:sz w:val="24"/>
          <w:szCs w:val="24"/>
        </w:rPr>
        <w:t>One faculty member noticed that the redesign doubled the size of the lesson, which necessitated cutting some other material, but that “students learned the topic more deeply.”</w:t>
      </w:r>
      <w:r w:rsidR="00DA2456" w:rsidRPr="00531688">
        <w:rPr>
          <w:rFonts w:ascii="Minion Pro" w:hAnsi="Minion Pro"/>
          <w:sz w:val="24"/>
          <w:szCs w:val="24"/>
        </w:rPr>
        <w:t xml:space="preserve"> We’ve heard faculty lament their need to cover content in response to active learning techniques and it can be true that time spent in interactive, student-centered teaching can reduce the amount of content that can be covered. </w:t>
      </w:r>
    </w:p>
    <w:p w:rsidR="00DA2456" w:rsidRPr="00531688" w:rsidRDefault="00DA2456" w:rsidP="00CE2979">
      <w:pPr>
        <w:rPr>
          <w:rFonts w:ascii="Minion Pro" w:hAnsi="Minion Pro"/>
          <w:sz w:val="24"/>
          <w:szCs w:val="24"/>
        </w:rPr>
      </w:pPr>
      <w:r w:rsidRPr="00531688">
        <w:rPr>
          <w:rFonts w:ascii="Minion Pro" w:hAnsi="Minion Pro"/>
          <w:sz w:val="24"/>
          <w:szCs w:val="24"/>
        </w:rPr>
        <w:t xml:space="preserve">Perhaps a different way to think about this is to suggest that TILT </w:t>
      </w:r>
      <w:r w:rsidR="000E3471" w:rsidRPr="00531688">
        <w:rPr>
          <w:rFonts w:ascii="Minion Pro" w:hAnsi="Minion Pro"/>
          <w:sz w:val="24"/>
          <w:szCs w:val="24"/>
        </w:rPr>
        <w:t>lines up</w:t>
      </w:r>
      <w:r w:rsidRPr="00531688">
        <w:rPr>
          <w:rFonts w:ascii="Minion Pro" w:hAnsi="Minion Pro"/>
          <w:sz w:val="24"/>
          <w:szCs w:val="24"/>
        </w:rPr>
        <w:t xml:space="preserve"> with the science of learning research and offers a way for faculty to align teach</w:t>
      </w:r>
      <w:r w:rsidR="003E03BF" w:rsidRPr="00531688">
        <w:rPr>
          <w:rFonts w:ascii="Minion Pro" w:hAnsi="Minion Pro"/>
          <w:sz w:val="24"/>
          <w:szCs w:val="24"/>
        </w:rPr>
        <w:t>ing</w:t>
      </w:r>
      <w:r w:rsidRPr="00531688">
        <w:rPr>
          <w:rFonts w:ascii="Minion Pro" w:hAnsi="Minion Pro"/>
          <w:sz w:val="24"/>
          <w:szCs w:val="24"/>
        </w:rPr>
        <w:t xml:space="preserve"> practices with what we know about how learning works. Just as an example – we know that experts think differently than novices with their organizing principles. So faculty can see the purpose/task/criteria of assignments clearly. But students are often unaware of these until we explicitly point them out. </w:t>
      </w:r>
      <w:r w:rsidR="00874179" w:rsidRPr="00531688">
        <w:rPr>
          <w:rFonts w:ascii="Minion Pro" w:hAnsi="Minion Pro"/>
          <w:sz w:val="24"/>
          <w:szCs w:val="24"/>
        </w:rPr>
        <w:t>When we give students transparent assignments, we reduce the demand on working memory so students can focus on thinking deeply about the assignment, rather than devoting resources to interpreting our intents or wondering why they been asked to do the work/how it relates to course content. Will you lose some time that might otherwise be devoted to rapid course coverage? Ye</w:t>
      </w:r>
      <w:r w:rsidR="000E3471" w:rsidRPr="00531688">
        <w:rPr>
          <w:rFonts w:ascii="Minion Pro" w:hAnsi="Minion Pro"/>
          <w:sz w:val="24"/>
          <w:szCs w:val="24"/>
        </w:rPr>
        <w:t>s. But are your students more likely to</w:t>
      </w:r>
      <w:r w:rsidR="00874179" w:rsidRPr="00531688">
        <w:rPr>
          <w:rFonts w:ascii="Minion Pro" w:hAnsi="Minion Pro"/>
          <w:sz w:val="24"/>
          <w:szCs w:val="24"/>
        </w:rPr>
        <w:t xml:space="preserve"> </w:t>
      </w:r>
      <w:r w:rsidR="00874179" w:rsidRPr="00531688">
        <w:rPr>
          <w:rFonts w:ascii="Minion Pro" w:hAnsi="Minion Pro"/>
          <w:i/>
          <w:sz w:val="24"/>
          <w:szCs w:val="24"/>
        </w:rPr>
        <w:t>uncover</w:t>
      </w:r>
      <w:r w:rsidR="00874179" w:rsidRPr="00531688">
        <w:rPr>
          <w:rFonts w:ascii="Minion Pro" w:hAnsi="Minion Pro"/>
          <w:sz w:val="24"/>
          <w:szCs w:val="24"/>
        </w:rPr>
        <w:t xml:space="preserve"> content and connect with </w:t>
      </w:r>
      <w:r w:rsidR="000E3471" w:rsidRPr="00531688">
        <w:rPr>
          <w:rFonts w:ascii="Minion Pro" w:hAnsi="Minion Pro"/>
          <w:sz w:val="24"/>
          <w:szCs w:val="24"/>
        </w:rPr>
        <w:t>your</w:t>
      </w:r>
      <w:r w:rsidR="00874179" w:rsidRPr="00531688">
        <w:rPr>
          <w:rFonts w:ascii="Minion Pro" w:hAnsi="Minion Pro"/>
          <w:sz w:val="24"/>
          <w:szCs w:val="24"/>
        </w:rPr>
        <w:t xml:space="preserve"> expectations? Ye</w:t>
      </w:r>
      <w:r w:rsidR="000E3471" w:rsidRPr="00531688">
        <w:rPr>
          <w:rFonts w:ascii="Minion Pro" w:hAnsi="Minion Pro"/>
          <w:sz w:val="24"/>
          <w:szCs w:val="24"/>
        </w:rPr>
        <w:t>s</w:t>
      </w:r>
      <w:r w:rsidR="00874179" w:rsidRPr="00531688">
        <w:rPr>
          <w:rFonts w:ascii="Minion Pro" w:hAnsi="Minion Pro"/>
          <w:sz w:val="24"/>
          <w:szCs w:val="24"/>
        </w:rPr>
        <w:t xml:space="preserve">. </w:t>
      </w:r>
    </w:p>
    <w:p w:rsidR="00E114FA" w:rsidRPr="00531688" w:rsidRDefault="000E3471" w:rsidP="00734DDF">
      <w:pPr>
        <w:pStyle w:val="Heading2"/>
        <w:spacing w:after="240"/>
        <w:rPr>
          <w:rFonts w:ascii="Minion Pro" w:hAnsi="Minion Pro"/>
        </w:rPr>
      </w:pPr>
      <w:r w:rsidRPr="00531688">
        <w:rPr>
          <w:rFonts w:ascii="Minion Pro" w:hAnsi="Minion Pro"/>
        </w:rPr>
        <w:t>Will s</w:t>
      </w:r>
      <w:r w:rsidR="00EF7800" w:rsidRPr="00531688">
        <w:rPr>
          <w:rFonts w:ascii="Minion Pro" w:hAnsi="Minion Pro"/>
        </w:rPr>
        <w:t>tudents read a longer (more transparent) assignment</w:t>
      </w:r>
      <w:r w:rsidRPr="00531688">
        <w:rPr>
          <w:rFonts w:ascii="Minion Pro" w:hAnsi="Minion Pro"/>
        </w:rPr>
        <w:t>?</w:t>
      </w:r>
    </w:p>
    <w:p w:rsidR="00F00BB2" w:rsidRPr="00531688" w:rsidRDefault="00287135" w:rsidP="00CE2979">
      <w:pPr>
        <w:rPr>
          <w:rFonts w:ascii="Minion Pro" w:hAnsi="Minion Pro"/>
          <w:sz w:val="24"/>
          <w:szCs w:val="24"/>
        </w:rPr>
      </w:pPr>
      <w:r w:rsidRPr="00531688">
        <w:rPr>
          <w:rFonts w:ascii="Minion Pro" w:hAnsi="Minion Pro"/>
          <w:sz w:val="24"/>
          <w:szCs w:val="24"/>
        </w:rPr>
        <w:t xml:space="preserve">If you revise an assignment, will it be longer? Probably. Will students read it? Yes and no. It seems like a universal complaint among faculty is that their students don’t read. </w:t>
      </w:r>
      <w:r w:rsidR="000E3471" w:rsidRPr="00531688">
        <w:rPr>
          <w:rFonts w:ascii="Minion Pro" w:hAnsi="Minion Pro"/>
          <w:sz w:val="24"/>
          <w:szCs w:val="24"/>
        </w:rPr>
        <w:t>So i</w:t>
      </w:r>
      <w:r w:rsidRPr="00531688">
        <w:rPr>
          <w:rFonts w:ascii="Minion Pro" w:hAnsi="Minion Pro"/>
          <w:sz w:val="24"/>
          <w:szCs w:val="24"/>
        </w:rPr>
        <w:t xml:space="preserve">f my assignment is longer, aren’t I taking a risk? Here’s the thing: </w:t>
      </w:r>
      <w:r w:rsidR="00F00BB2" w:rsidRPr="00531688">
        <w:rPr>
          <w:rFonts w:ascii="Minion Pro" w:hAnsi="Minion Pro"/>
          <w:sz w:val="24"/>
          <w:szCs w:val="24"/>
        </w:rPr>
        <w:t xml:space="preserve">Transparent assignment design doesn’t work by itself. You can’t “fix” an assignment and assume that because it is redesigned, it will automatically result in better outcomes. Transparent assignment design must be paired with transparent teaching methods. </w:t>
      </w:r>
      <w:r w:rsidR="000E3471" w:rsidRPr="00531688">
        <w:rPr>
          <w:rFonts w:ascii="Minion Pro" w:hAnsi="Minion Pro"/>
          <w:sz w:val="24"/>
          <w:szCs w:val="24"/>
        </w:rPr>
        <w:t xml:space="preserve">Some students will follow verbal directions with more attention, while other students will read longer directions with more effectiveness, perhaps even more so after they’ve heard the directions. </w:t>
      </w:r>
    </w:p>
    <w:p w:rsidR="00F00BB2" w:rsidRPr="00531688" w:rsidRDefault="00F00BB2" w:rsidP="00CE2979">
      <w:pPr>
        <w:rPr>
          <w:rFonts w:ascii="Minion Pro" w:hAnsi="Minion Pro"/>
          <w:sz w:val="24"/>
          <w:szCs w:val="24"/>
        </w:rPr>
      </w:pPr>
      <w:r w:rsidRPr="00531688">
        <w:rPr>
          <w:rFonts w:ascii="Minion Pro" w:hAnsi="Minion Pro"/>
          <w:sz w:val="24"/>
          <w:szCs w:val="24"/>
        </w:rPr>
        <w:t>Some instructors have noted a desire to stay more concise using the framework without diminishing clarity of instructions or the overall transparency of the assignment. What we noticed is that instructors who adopted the TILT framework began to own it</w:t>
      </w:r>
      <w:r w:rsidR="000E3471" w:rsidRPr="00531688">
        <w:rPr>
          <w:rFonts w:ascii="Minion Pro" w:hAnsi="Minion Pro"/>
          <w:sz w:val="24"/>
          <w:szCs w:val="24"/>
        </w:rPr>
        <w:t xml:space="preserve">; </w:t>
      </w:r>
      <w:r w:rsidRPr="00531688">
        <w:rPr>
          <w:rFonts w:ascii="Minion Pro" w:hAnsi="Minion Pro"/>
          <w:sz w:val="24"/>
          <w:szCs w:val="24"/>
        </w:rPr>
        <w:t xml:space="preserve">in other words, they fine-tuned the approach to fit their own </w:t>
      </w:r>
      <w:r w:rsidRPr="00531688">
        <w:rPr>
          <w:rFonts w:ascii="Minion Pro" w:hAnsi="Minion Pro"/>
          <w:sz w:val="24"/>
          <w:szCs w:val="24"/>
        </w:rPr>
        <w:lastRenderedPageBreak/>
        <w:t xml:space="preserve">teaching practices – perhaps making the instructions more concise, maybe making a list of items under the purpose section shorter, or starting with the task (and then the purpose) because they found that it help the students’ attention. </w:t>
      </w:r>
    </w:p>
    <w:p w:rsidR="00E114FA" w:rsidRPr="00531688" w:rsidRDefault="00EF7800" w:rsidP="00734DDF">
      <w:pPr>
        <w:pStyle w:val="Heading2"/>
        <w:spacing w:after="240"/>
        <w:rPr>
          <w:rFonts w:ascii="Minion Pro" w:hAnsi="Minion Pro"/>
        </w:rPr>
      </w:pPr>
      <w:r w:rsidRPr="00531688">
        <w:rPr>
          <w:rFonts w:ascii="Minion Pro" w:hAnsi="Minion Pro"/>
        </w:rPr>
        <w:t>Spoonfeeding</w:t>
      </w:r>
    </w:p>
    <w:p w:rsidR="00874179" w:rsidRPr="00531688" w:rsidRDefault="00874179" w:rsidP="00CE2979">
      <w:pPr>
        <w:rPr>
          <w:rFonts w:ascii="Minion Pro" w:hAnsi="Minion Pro"/>
          <w:sz w:val="24"/>
          <w:szCs w:val="24"/>
        </w:rPr>
      </w:pPr>
      <w:r w:rsidRPr="00531688">
        <w:rPr>
          <w:rFonts w:ascii="Minion Pro" w:hAnsi="Minion Pro"/>
          <w:sz w:val="24"/>
          <w:szCs w:val="24"/>
        </w:rPr>
        <w:t xml:space="preserve">One common concern for some instructors is whether transparency about the task might be </w:t>
      </w:r>
      <w:r w:rsidRPr="00531688">
        <w:rPr>
          <w:rFonts w:ascii="Minion Pro" w:hAnsi="Minion Pro"/>
          <w:i/>
          <w:sz w:val="24"/>
          <w:szCs w:val="24"/>
        </w:rPr>
        <w:t>too</w:t>
      </w:r>
      <w:r w:rsidRPr="00531688">
        <w:rPr>
          <w:rFonts w:ascii="Minion Pro" w:hAnsi="Minion Pro"/>
          <w:sz w:val="24"/>
          <w:szCs w:val="24"/>
        </w:rPr>
        <w:t xml:space="preserve"> helpful to students, making it too easy for them to complete their</w:t>
      </w:r>
      <w:r w:rsidR="00E26D94" w:rsidRPr="00531688">
        <w:rPr>
          <w:rFonts w:ascii="Minion Pro" w:hAnsi="Minion Pro"/>
          <w:sz w:val="24"/>
          <w:szCs w:val="24"/>
        </w:rPr>
        <w:t xml:space="preserve"> </w:t>
      </w:r>
      <w:r w:rsidRPr="00531688">
        <w:rPr>
          <w:rFonts w:ascii="Minion Pro" w:hAnsi="Minion Pro"/>
          <w:sz w:val="24"/>
          <w:szCs w:val="24"/>
        </w:rPr>
        <w:t xml:space="preserve">assignments. </w:t>
      </w:r>
      <w:r w:rsidR="00CE2979" w:rsidRPr="00531688">
        <w:rPr>
          <w:rFonts w:ascii="Minion Pro" w:hAnsi="Minion Pro"/>
          <w:sz w:val="24"/>
          <w:szCs w:val="24"/>
        </w:rPr>
        <w:t xml:space="preserve">Does it coddle students and reduce their motivation to excel? Published reflections from faculty who shared such concerns indicated that the quality of students’ work was higher than they anticipated or that students met the teachers’ goals quickly, leaving time for more challenging work and greater achievement by the end of the term. </w:t>
      </w:r>
    </w:p>
    <w:p w:rsidR="00CE2979" w:rsidRPr="00531688" w:rsidRDefault="00CE2979" w:rsidP="00CE2979">
      <w:pPr>
        <w:rPr>
          <w:rFonts w:ascii="Minion Pro" w:hAnsi="Minion Pro"/>
          <w:b/>
          <w:sz w:val="24"/>
          <w:szCs w:val="24"/>
        </w:rPr>
      </w:pPr>
      <w:r w:rsidRPr="00531688">
        <w:rPr>
          <w:rFonts w:ascii="Minion Pro" w:hAnsi="Minion Pro"/>
          <w:sz w:val="24"/>
          <w:szCs w:val="24"/>
        </w:rPr>
        <w:t>We might also note that if your faculty colleagues suggest that students need to work through/struggle through the purpose instead of having it laid out for them, in other words, that discovering the purpose of the assignment is a part of the assignment – then, we encourage th</w:t>
      </w:r>
      <w:r w:rsidR="00E26D94" w:rsidRPr="00531688">
        <w:rPr>
          <w:rFonts w:ascii="Minion Pro" w:hAnsi="Minion Pro"/>
          <w:sz w:val="24"/>
          <w:szCs w:val="24"/>
        </w:rPr>
        <w:t>em to say just that (</w:t>
      </w:r>
      <w:r w:rsidR="00E26D94" w:rsidRPr="00531688">
        <w:rPr>
          <w:rFonts w:ascii="Minion Pro" w:hAnsi="Minion Pro"/>
          <w:i/>
          <w:sz w:val="24"/>
          <w:szCs w:val="24"/>
        </w:rPr>
        <w:t>t</w:t>
      </w:r>
      <w:r w:rsidRPr="00531688">
        <w:rPr>
          <w:rFonts w:ascii="Minion Pro" w:hAnsi="Minion Pro"/>
          <w:i/>
          <w:sz w:val="24"/>
          <w:szCs w:val="24"/>
        </w:rPr>
        <w:t>he purpose of this assignment is for you to work through challenges and perhaps even experience frustr</w:t>
      </w:r>
      <w:r w:rsidR="00E26D94" w:rsidRPr="00531688">
        <w:rPr>
          <w:rFonts w:ascii="Minion Pro" w:hAnsi="Minion Pro"/>
          <w:i/>
          <w:sz w:val="24"/>
          <w:szCs w:val="24"/>
        </w:rPr>
        <w:t>ation as you identify XYZ</w:t>
      </w:r>
      <w:r w:rsidR="00E26D94" w:rsidRPr="00531688">
        <w:rPr>
          <w:rFonts w:ascii="Minion Pro" w:hAnsi="Minion Pro"/>
          <w:sz w:val="24"/>
          <w:szCs w:val="24"/>
        </w:rPr>
        <w:t xml:space="preserve">). </w:t>
      </w:r>
    </w:p>
    <w:p w:rsidR="00E114FA" w:rsidRPr="00531688" w:rsidRDefault="00E26D94" w:rsidP="00734DDF">
      <w:pPr>
        <w:pStyle w:val="Heading2"/>
        <w:spacing w:after="240"/>
        <w:rPr>
          <w:rFonts w:ascii="Minion Pro" w:hAnsi="Minion Pro"/>
        </w:rPr>
      </w:pPr>
      <w:r w:rsidRPr="00531688">
        <w:rPr>
          <w:rFonts w:ascii="Minion Pro" w:hAnsi="Minion Pro"/>
        </w:rPr>
        <w:t xml:space="preserve">Doesn’t this </w:t>
      </w:r>
      <w:r w:rsidR="00531688">
        <w:rPr>
          <w:rFonts w:ascii="Minion Pro" w:hAnsi="Minion Pro"/>
        </w:rPr>
        <w:t>take quite a bit of extra time?</w:t>
      </w:r>
    </w:p>
    <w:p w:rsidR="00E26D94" w:rsidRPr="00531688" w:rsidRDefault="00642EF1" w:rsidP="00CE2979">
      <w:pPr>
        <w:rPr>
          <w:rFonts w:ascii="Minion Pro" w:hAnsi="Minion Pro"/>
          <w:sz w:val="24"/>
          <w:szCs w:val="24"/>
        </w:rPr>
      </w:pPr>
      <w:r w:rsidRPr="00531688">
        <w:rPr>
          <w:rFonts w:ascii="Minion Pro" w:hAnsi="Minion Pro"/>
          <w:sz w:val="24"/>
          <w:szCs w:val="24"/>
        </w:rPr>
        <w:t>Teachers may be reticent to take on a substantial redesign of assignments they feel they have perfected. A major concern that many instructors might have about impl</w:t>
      </w:r>
      <w:r w:rsidR="009C6109">
        <w:rPr>
          <w:rFonts w:ascii="Minion Pro" w:hAnsi="Minion Pro"/>
          <w:sz w:val="24"/>
          <w:szCs w:val="24"/>
        </w:rPr>
        <w:t>ementing the Transparency Frame</w:t>
      </w:r>
      <w:r w:rsidRPr="00531688">
        <w:rPr>
          <w:rFonts w:ascii="Minion Pro" w:hAnsi="Minion Pro"/>
          <w:sz w:val="24"/>
          <w:szCs w:val="24"/>
        </w:rPr>
        <w:t>work is the time and effort involved in the development process. It is true that developing and articulating the purpose, task and criter</w:t>
      </w:r>
      <w:r w:rsidR="00E26D94" w:rsidRPr="00531688">
        <w:rPr>
          <w:rFonts w:ascii="Minion Pro" w:hAnsi="Minion Pro"/>
          <w:sz w:val="24"/>
          <w:szCs w:val="24"/>
        </w:rPr>
        <w:t xml:space="preserve">ia components of an assignment </w:t>
      </w:r>
      <w:r w:rsidRPr="00531688">
        <w:rPr>
          <w:rFonts w:ascii="Minion Pro" w:hAnsi="Minion Pro"/>
          <w:sz w:val="24"/>
          <w:szCs w:val="24"/>
        </w:rPr>
        <w:t>take</w:t>
      </w:r>
      <w:r w:rsidR="00E26D94" w:rsidRPr="00531688">
        <w:rPr>
          <w:rFonts w:ascii="Minion Pro" w:hAnsi="Minion Pro"/>
          <w:sz w:val="24"/>
          <w:szCs w:val="24"/>
        </w:rPr>
        <w:t>s</w:t>
      </w:r>
      <w:r w:rsidRPr="00531688">
        <w:rPr>
          <w:rFonts w:ascii="Minion Pro" w:hAnsi="Minion Pro"/>
          <w:sz w:val="24"/>
          <w:szCs w:val="24"/>
        </w:rPr>
        <w:t xml:space="preserve"> some time. </w:t>
      </w:r>
    </w:p>
    <w:p w:rsidR="00642EF1" w:rsidRPr="00531688" w:rsidRDefault="00E26D94" w:rsidP="00CE2979">
      <w:pPr>
        <w:rPr>
          <w:rFonts w:ascii="Minion Pro" w:hAnsi="Minion Pro"/>
          <w:sz w:val="24"/>
          <w:szCs w:val="24"/>
        </w:rPr>
      </w:pPr>
      <w:r w:rsidRPr="00531688">
        <w:rPr>
          <w:rFonts w:ascii="Minion Pro" w:hAnsi="Minion Pro"/>
          <w:sz w:val="24"/>
          <w:szCs w:val="24"/>
        </w:rPr>
        <w:t>But i</w:t>
      </w:r>
      <w:r w:rsidR="00642EF1" w:rsidRPr="00531688">
        <w:rPr>
          <w:rFonts w:ascii="Minion Pro" w:hAnsi="Minion Pro"/>
          <w:sz w:val="24"/>
          <w:szCs w:val="24"/>
        </w:rPr>
        <w:t xml:space="preserve">t’s important to remember the mantra of TILT here, which is: </w:t>
      </w:r>
      <w:r w:rsidR="00642EF1" w:rsidRPr="00531688">
        <w:rPr>
          <w:rFonts w:ascii="Minion Pro" w:hAnsi="Minion Pro"/>
          <w:b/>
          <w:sz w:val="24"/>
          <w:szCs w:val="24"/>
        </w:rPr>
        <w:t>Small changes lead to big improvements.</w:t>
      </w:r>
      <w:r w:rsidR="00642EF1" w:rsidRPr="00531688">
        <w:rPr>
          <w:rFonts w:ascii="Minion Pro" w:hAnsi="Minion Pro"/>
          <w:sz w:val="24"/>
          <w:szCs w:val="24"/>
        </w:rPr>
        <w:t xml:space="preserve"> We always encourage our faculty to start by revising one or just two assignments in a course. The good news is that although our faculty admitted that some extra time was involved</w:t>
      </w:r>
      <w:r w:rsidRPr="00531688">
        <w:rPr>
          <w:rFonts w:ascii="Minion Pro" w:hAnsi="Minion Pro"/>
          <w:sz w:val="24"/>
          <w:szCs w:val="24"/>
        </w:rPr>
        <w:t xml:space="preserve"> on the front end</w:t>
      </w:r>
      <w:r w:rsidR="00642EF1" w:rsidRPr="00531688">
        <w:rPr>
          <w:rFonts w:ascii="Minion Pro" w:hAnsi="Minion Pro"/>
          <w:sz w:val="24"/>
          <w:szCs w:val="24"/>
        </w:rPr>
        <w:t xml:space="preserve">, they all felt the payoff was much greater, resulting in less confusion and improved performance from their students, ultimately saving time in the end for both students and instructors. </w:t>
      </w:r>
    </w:p>
    <w:p w:rsidR="007D033D" w:rsidRPr="00531688" w:rsidRDefault="007D033D" w:rsidP="00734DDF">
      <w:pPr>
        <w:pStyle w:val="Heading2"/>
        <w:spacing w:after="240"/>
        <w:rPr>
          <w:rFonts w:ascii="Minion Pro" w:hAnsi="Minion Pro"/>
        </w:rPr>
      </w:pPr>
      <w:r w:rsidRPr="00531688">
        <w:rPr>
          <w:rFonts w:ascii="Minion Pro" w:hAnsi="Minion Pro"/>
        </w:rPr>
        <w:t>Conclusion:</w:t>
      </w:r>
    </w:p>
    <w:p w:rsidR="007D033D" w:rsidRPr="00531688" w:rsidRDefault="007D033D" w:rsidP="00CE2979">
      <w:pPr>
        <w:rPr>
          <w:rFonts w:ascii="Minion Pro" w:hAnsi="Minion Pro"/>
          <w:color w:val="000000"/>
          <w:sz w:val="24"/>
          <w:szCs w:val="24"/>
        </w:rPr>
      </w:pPr>
      <w:r w:rsidRPr="00531688">
        <w:rPr>
          <w:rFonts w:ascii="Minion Pro" w:hAnsi="Minion Pro"/>
          <w:color w:val="000000"/>
          <w:sz w:val="24"/>
          <w:szCs w:val="24"/>
        </w:rPr>
        <w:t>It is important to recognize that a relatively small amount of transparent instruction can offer significant benefits for students. You do not need to revise every syllabus, in-class activity or assignment to reap those gains. In our AAC&amp;U and UNLV studies, we asked teachers to revise only two assignments in a term to make them more transparent, relevant and accessible for students. That was enough to provide students with significant increases to their confidence, sense of belonging, metacognitive awareness, and retention up to two years later, with even larger gains for underserved students. Two discussions in a term about the purposes, tasks and criteria for their academic work can prepare students to seek out transparency in other assignments and in other courses.</w:t>
      </w:r>
    </w:p>
    <w:p w:rsidR="006703F0" w:rsidRPr="00531688" w:rsidRDefault="007D033D" w:rsidP="00642EF1">
      <w:pPr>
        <w:rPr>
          <w:rFonts w:ascii="Minion Pro" w:hAnsi="Minion Pro"/>
        </w:rPr>
      </w:pPr>
      <w:r w:rsidRPr="00531688">
        <w:rPr>
          <w:rFonts w:ascii="Minion Pro" w:hAnsi="Minion Pro"/>
          <w:color w:val="000000"/>
          <w:sz w:val="24"/>
          <w:szCs w:val="24"/>
        </w:rPr>
        <w:t>For assistance in designing assignments, learning exercises and course materials that offer transparency equitably to stude</w:t>
      </w:r>
      <w:r w:rsidR="00E26D94" w:rsidRPr="00531688">
        <w:rPr>
          <w:rFonts w:ascii="Minion Pro" w:hAnsi="Minion Pro"/>
          <w:color w:val="000000"/>
          <w:sz w:val="24"/>
          <w:szCs w:val="24"/>
        </w:rPr>
        <w:t>nts, consult the guidelines in our book</w:t>
      </w:r>
      <w:r w:rsidRPr="00531688">
        <w:rPr>
          <w:rFonts w:ascii="Minion Pro" w:hAnsi="Minion Pro"/>
          <w:color w:val="000000"/>
          <w:sz w:val="24"/>
          <w:szCs w:val="24"/>
        </w:rPr>
        <w:t xml:space="preserve"> and the multiple examples available on the </w:t>
      </w:r>
      <w:hyperlink r:id="rId6" w:history="1">
        <w:r w:rsidRPr="00531688">
          <w:rPr>
            <w:rStyle w:val="Hyperlink"/>
            <w:rFonts w:ascii="Minion Pro" w:hAnsi="Minion Pro"/>
            <w:sz w:val="24"/>
            <w:szCs w:val="24"/>
          </w:rPr>
          <w:t>TILT Higher Ed website</w:t>
        </w:r>
      </w:hyperlink>
      <w:r w:rsidR="00E26D94" w:rsidRPr="00531688">
        <w:rPr>
          <w:rFonts w:ascii="Minion Pro" w:hAnsi="Minion Pro"/>
          <w:color w:val="000000"/>
          <w:sz w:val="24"/>
          <w:szCs w:val="24"/>
        </w:rPr>
        <w:t>.</w:t>
      </w:r>
    </w:p>
    <w:sectPr w:rsidR="006703F0" w:rsidRPr="00531688" w:rsidSect="006876DA">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dobe Heiti Std R">
    <w:altName w:val="Adobe Heiti Std R"/>
    <w:panose1 w:val="020B0400000000000000"/>
    <w:charset w:val="80"/>
    <w:family w:val="swiss"/>
    <w:notTrueType/>
    <w:pitch w:val="variable"/>
    <w:sig w:usb0="00000207" w:usb1="0A0F1810" w:usb2="00000016" w:usb3="00000000" w:csb0="00060007"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B0EDB"/>
    <w:multiLevelType w:val="hybridMultilevel"/>
    <w:tmpl w:val="222A075C"/>
    <w:lvl w:ilvl="0" w:tplc="98BE32DE">
      <w:start w:val="1"/>
      <w:numFmt w:val="bullet"/>
      <w:lvlText w:val="•"/>
      <w:lvlJc w:val="left"/>
      <w:pPr>
        <w:tabs>
          <w:tab w:val="num" w:pos="720"/>
        </w:tabs>
        <w:ind w:left="720" w:hanging="360"/>
      </w:pPr>
      <w:rPr>
        <w:rFonts w:ascii="Arial" w:hAnsi="Arial" w:hint="default"/>
      </w:rPr>
    </w:lvl>
    <w:lvl w:ilvl="1" w:tplc="DC2C0DD2" w:tentative="1">
      <w:start w:val="1"/>
      <w:numFmt w:val="bullet"/>
      <w:lvlText w:val="•"/>
      <w:lvlJc w:val="left"/>
      <w:pPr>
        <w:tabs>
          <w:tab w:val="num" w:pos="1440"/>
        </w:tabs>
        <w:ind w:left="1440" w:hanging="360"/>
      </w:pPr>
      <w:rPr>
        <w:rFonts w:ascii="Arial" w:hAnsi="Arial" w:hint="default"/>
      </w:rPr>
    </w:lvl>
    <w:lvl w:ilvl="2" w:tplc="85929F18" w:tentative="1">
      <w:start w:val="1"/>
      <w:numFmt w:val="bullet"/>
      <w:lvlText w:val="•"/>
      <w:lvlJc w:val="left"/>
      <w:pPr>
        <w:tabs>
          <w:tab w:val="num" w:pos="2160"/>
        </w:tabs>
        <w:ind w:left="2160" w:hanging="360"/>
      </w:pPr>
      <w:rPr>
        <w:rFonts w:ascii="Arial" w:hAnsi="Arial" w:hint="default"/>
      </w:rPr>
    </w:lvl>
    <w:lvl w:ilvl="3" w:tplc="F9E45BD8" w:tentative="1">
      <w:start w:val="1"/>
      <w:numFmt w:val="bullet"/>
      <w:lvlText w:val="•"/>
      <w:lvlJc w:val="left"/>
      <w:pPr>
        <w:tabs>
          <w:tab w:val="num" w:pos="2880"/>
        </w:tabs>
        <w:ind w:left="2880" w:hanging="360"/>
      </w:pPr>
      <w:rPr>
        <w:rFonts w:ascii="Arial" w:hAnsi="Arial" w:hint="default"/>
      </w:rPr>
    </w:lvl>
    <w:lvl w:ilvl="4" w:tplc="E60E601A" w:tentative="1">
      <w:start w:val="1"/>
      <w:numFmt w:val="bullet"/>
      <w:lvlText w:val="•"/>
      <w:lvlJc w:val="left"/>
      <w:pPr>
        <w:tabs>
          <w:tab w:val="num" w:pos="3600"/>
        </w:tabs>
        <w:ind w:left="3600" w:hanging="360"/>
      </w:pPr>
      <w:rPr>
        <w:rFonts w:ascii="Arial" w:hAnsi="Arial" w:hint="default"/>
      </w:rPr>
    </w:lvl>
    <w:lvl w:ilvl="5" w:tplc="1DE433C0" w:tentative="1">
      <w:start w:val="1"/>
      <w:numFmt w:val="bullet"/>
      <w:lvlText w:val="•"/>
      <w:lvlJc w:val="left"/>
      <w:pPr>
        <w:tabs>
          <w:tab w:val="num" w:pos="4320"/>
        </w:tabs>
        <w:ind w:left="4320" w:hanging="360"/>
      </w:pPr>
      <w:rPr>
        <w:rFonts w:ascii="Arial" w:hAnsi="Arial" w:hint="default"/>
      </w:rPr>
    </w:lvl>
    <w:lvl w:ilvl="6" w:tplc="CDC8FDDC" w:tentative="1">
      <w:start w:val="1"/>
      <w:numFmt w:val="bullet"/>
      <w:lvlText w:val="•"/>
      <w:lvlJc w:val="left"/>
      <w:pPr>
        <w:tabs>
          <w:tab w:val="num" w:pos="5040"/>
        </w:tabs>
        <w:ind w:left="5040" w:hanging="360"/>
      </w:pPr>
      <w:rPr>
        <w:rFonts w:ascii="Arial" w:hAnsi="Arial" w:hint="default"/>
      </w:rPr>
    </w:lvl>
    <w:lvl w:ilvl="7" w:tplc="A9269A1A" w:tentative="1">
      <w:start w:val="1"/>
      <w:numFmt w:val="bullet"/>
      <w:lvlText w:val="•"/>
      <w:lvlJc w:val="left"/>
      <w:pPr>
        <w:tabs>
          <w:tab w:val="num" w:pos="5760"/>
        </w:tabs>
        <w:ind w:left="5760" w:hanging="360"/>
      </w:pPr>
      <w:rPr>
        <w:rFonts w:ascii="Arial" w:hAnsi="Arial" w:hint="default"/>
      </w:rPr>
    </w:lvl>
    <w:lvl w:ilvl="8" w:tplc="4F889C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4006B5F"/>
    <w:multiLevelType w:val="hybridMultilevel"/>
    <w:tmpl w:val="D7C2B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E70053F"/>
    <w:multiLevelType w:val="hybridMultilevel"/>
    <w:tmpl w:val="5F7A3420"/>
    <w:lvl w:ilvl="0" w:tplc="0CE4D04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F1"/>
    <w:rsid w:val="000E3471"/>
    <w:rsid w:val="001A6205"/>
    <w:rsid w:val="00243B71"/>
    <w:rsid w:val="00287135"/>
    <w:rsid w:val="0032569F"/>
    <w:rsid w:val="003E03BF"/>
    <w:rsid w:val="004C202F"/>
    <w:rsid w:val="00531688"/>
    <w:rsid w:val="00642EF1"/>
    <w:rsid w:val="006703F0"/>
    <w:rsid w:val="0067463E"/>
    <w:rsid w:val="0068766E"/>
    <w:rsid w:val="006876DA"/>
    <w:rsid w:val="006B1397"/>
    <w:rsid w:val="00734DDF"/>
    <w:rsid w:val="007D033D"/>
    <w:rsid w:val="00874179"/>
    <w:rsid w:val="008C28F8"/>
    <w:rsid w:val="00981544"/>
    <w:rsid w:val="009C4AE2"/>
    <w:rsid w:val="009C6109"/>
    <w:rsid w:val="00B4739B"/>
    <w:rsid w:val="00BA2CF9"/>
    <w:rsid w:val="00CE2979"/>
    <w:rsid w:val="00D80C86"/>
    <w:rsid w:val="00DA2456"/>
    <w:rsid w:val="00E114FA"/>
    <w:rsid w:val="00E26D94"/>
    <w:rsid w:val="00EF7800"/>
    <w:rsid w:val="00F00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3611D-F717-44C7-8FE1-7C94E50F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3BF"/>
  </w:style>
  <w:style w:type="paragraph" w:styleId="Heading1">
    <w:name w:val="heading 1"/>
    <w:basedOn w:val="Normal"/>
    <w:next w:val="Normal"/>
    <w:link w:val="Heading1Char"/>
    <w:uiPriority w:val="9"/>
    <w:qFormat/>
    <w:rsid w:val="000E3471"/>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Web"/>
    <w:link w:val="Heading2Char"/>
    <w:uiPriority w:val="9"/>
    <w:qFormat/>
    <w:rsid w:val="00734DDF"/>
    <w:pPr>
      <w:spacing w:before="0" w:beforeAutospacing="0" w:after="0" w:afterAutospacing="0"/>
      <w:outlineLvl w:val="1"/>
    </w:pPr>
    <w:rPr>
      <w:rFonts w:asciiTheme="minorHAnsi" w:hAnsiTheme="minorHAnsi" w:cstheme="minorHAns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800"/>
    <w:pPr>
      <w:spacing w:after="0" w:line="240" w:lineRule="auto"/>
      <w:ind w:left="720"/>
    </w:pPr>
    <w:rPr>
      <w:rFonts w:ascii="Calibri" w:hAnsi="Calibri" w:cs="Times New Roman"/>
    </w:rPr>
  </w:style>
  <w:style w:type="paragraph" w:customStyle="1" w:styleId="Default">
    <w:name w:val="Default"/>
    <w:rsid w:val="00EF7800"/>
    <w:pPr>
      <w:autoSpaceDE w:val="0"/>
      <w:autoSpaceDN w:val="0"/>
      <w:adjustRightInd w:val="0"/>
      <w:spacing w:after="0" w:line="240" w:lineRule="auto"/>
    </w:pPr>
    <w:rPr>
      <w:rFonts w:ascii="Adobe Heiti Std R" w:hAnsi="Adobe Heiti Std R" w:cs="Adobe Heiti Std R"/>
      <w:color w:val="000000"/>
      <w:sz w:val="24"/>
      <w:szCs w:val="24"/>
    </w:rPr>
  </w:style>
  <w:style w:type="paragraph" w:styleId="BalloonText">
    <w:name w:val="Balloon Text"/>
    <w:basedOn w:val="Normal"/>
    <w:link w:val="BalloonTextChar"/>
    <w:uiPriority w:val="99"/>
    <w:semiHidden/>
    <w:unhideWhenUsed/>
    <w:rsid w:val="009C4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AE2"/>
    <w:rPr>
      <w:rFonts w:ascii="Segoe UI" w:hAnsi="Segoe UI" w:cs="Segoe UI"/>
      <w:sz w:val="18"/>
      <w:szCs w:val="18"/>
    </w:rPr>
  </w:style>
  <w:style w:type="paragraph" w:styleId="NormalWeb">
    <w:name w:val="Normal (Web)"/>
    <w:basedOn w:val="Normal"/>
    <w:uiPriority w:val="99"/>
    <w:unhideWhenUsed/>
    <w:rsid w:val="009C4A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34DDF"/>
    <w:rPr>
      <w:rFonts w:eastAsia="Times New Roman" w:cstheme="minorHAnsi"/>
      <w:b/>
      <w:bCs/>
      <w:color w:val="000000"/>
      <w:sz w:val="24"/>
      <w:szCs w:val="24"/>
    </w:rPr>
  </w:style>
  <w:style w:type="character" w:styleId="Hyperlink">
    <w:name w:val="Hyperlink"/>
    <w:basedOn w:val="DefaultParagraphFont"/>
    <w:uiPriority w:val="99"/>
    <w:unhideWhenUsed/>
    <w:rsid w:val="007D033D"/>
    <w:rPr>
      <w:color w:val="0000FF"/>
      <w:u w:val="single"/>
    </w:rPr>
  </w:style>
  <w:style w:type="character" w:styleId="FollowedHyperlink">
    <w:name w:val="FollowedHyperlink"/>
    <w:basedOn w:val="DefaultParagraphFont"/>
    <w:uiPriority w:val="99"/>
    <w:semiHidden/>
    <w:unhideWhenUsed/>
    <w:rsid w:val="007D033D"/>
    <w:rPr>
      <w:color w:val="BA6906" w:themeColor="followedHyperlink"/>
      <w:u w:val="single"/>
    </w:rPr>
  </w:style>
  <w:style w:type="character" w:customStyle="1" w:styleId="Heading1Char">
    <w:name w:val="Heading 1 Char"/>
    <w:basedOn w:val="DefaultParagraphFont"/>
    <w:link w:val="Heading1"/>
    <w:uiPriority w:val="9"/>
    <w:rsid w:val="000E3471"/>
    <w:rPr>
      <w:rFonts w:asciiTheme="majorHAnsi" w:eastAsiaTheme="majorEastAsia" w:hAnsiTheme="majorHAnsi" w:cstheme="majorBidi"/>
      <w:color w:val="3E762A" w:themeColor="accent1" w:themeShade="BF"/>
      <w:sz w:val="32"/>
      <w:szCs w:val="32"/>
    </w:rPr>
  </w:style>
  <w:style w:type="paragraph" w:styleId="BodyText">
    <w:name w:val="Body Text"/>
    <w:basedOn w:val="Normal"/>
    <w:link w:val="BodyTextChar"/>
    <w:uiPriority w:val="1"/>
    <w:qFormat/>
    <w:rsid w:val="000E3471"/>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0E3471"/>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4429">
      <w:bodyDiv w:val="1"/>
      <w:marLeft w:val="0"/>
      <w:marRight w:val="0"/>
      <w:marTop w:val="0"/>
      <w:marBottom w:val="0"/>
      <w:divBdr>
        <w:top w:val="none" w:sz="0" w:space="0" w:color="auto"/>
        <w:left w:val="none" w:sz="0" w:space="0" w:color="auto"/>
        <w:bottom w:val="none" w:sz="0" w:space="0" w:color="auto"/>
        <w:right w:val="none" w:sz="0" w:space="0" w:color="auto"/>
      </w:divBdr>
    </w:div>
    <w:div w:id="679694989">
      <w:bodyDiv w:val="1"/>
      <w:marLeft w:val="0"/>
      <w:marRight w:val="0"/>
      <w:marTop w:val="0"/>
      <w:marBottom w:val="0"/>
      <w:divBdr>
        <w:top w:val="none" w:sz="0" w:space="0" w:color="auto"/>
        <w:left w:val="none" w:sz="0" w:space="0" w:color="auto"/>
        <w:bottom w:val="none" w:sz="0" w:space="0" w:color="auto"/>
        <w:right w:val="none" w:sz="0" w:space="0" w:color="auto"/>
      </w:divBdr>
    </w:div>
    <w:div w:id="791285464">
      <w:bodyDiv w:val="1"/>
      <w:marLeft w:val="0"/>
      <w:marRight w:val="0"/>
      <w:marTop w:val="0"/>
      <w:marBottom w:val="0"/>
      <w:divBdr>
        <w:top w:val="none" w:sz="0" w:space="0" w:color="auto"/>
        <w:left w:val="none" w:sz="0" w:space="0" w:color="auto"/>
        <w:bottom w:val="none" w:sz="0" w:space="0" w:color="auto"/>
        <w:right w:val="none" w:sz="0" w:space="0" w:color="auto"/>
      </w:divBdr>
      <w:divsChild>
        <w:div w:id="834954319">
          <w:marLeft w:val="360"/>
          <w:marRight w:val="0"/>
          <w:marTop w:val="200"/>
          <w:marBottom w:val="0"/>
          <w:divBdr>
            <w:top w:val="none" w:sz="0" w:space="0" w:color="auto"/>
            <w:left w:val="none" w:sz="0" w:space="0" w:color="auto"/>
            <w:bottom w:val="none" w:sz="0" w:space="0" w:color="auto"/>
            <w:right w:val="none" w:sz="0" w:space="0" w:color="auto"/>
          </w:divBdr>
        </w:div>
        <w:div w:id="1974672129">
          <w:marLeft w:val="360"/>
          <w:marRight w:val="0"/>
          <w:marTop w:val="200"/>
          <w:marBottom w:val="0"/>
          <w:divBdr>
            <w:top w:val="none" w:sz="0" w:space="0" w:color="auto"/>
            <w:left w:val="none" w:sz="0" w:space="0" w:color="auto"/>
            <w:bottom w:val="none" w:sz="0" w:space="0" w:color="auto"/>
            <w:right w:val="none" w:sz="0" w:space="0" w:color="auto"/>
          </w:divBdr>
        </w:div>
        <w:div w:id="1105661300">
          <w:marLeft w:val="360"/>
          <w:marRight w:val="0"/>
          <w:marTop w:val="200"/>
          <w:marBottom w:val="0"/>
          <w:divBdr>
            <w:top w:val="none" w:sz="0" w:space="0" w:color="auto"/>
            <w:left w:val="none" w:sz="0" w:space="0" w:color="auto"/>
            <w:bottom w:val="none" w:sz="0" w:space="0" w:color="auto"/>
            <w:right w:val="none" w:sz="0" w:space="0" w:color="auto"/>
          </w:divBdr>
        </w:div>
        <w:div w:id="896279380">
          <w:marLeft w:val="360"/>
          <w:marRight w:val="0"/>
          <w:marTop w:val="200"/>
          <w:marBottom w:val="0"/>
          <w:divBdr>
            <w:top w:val="none" w:sz="0" w:space="0" w:color="auto"/>
            <w:left w:val="none" w:sz="0" w:space="0" w:color="auto"/>
            <w:bottom w:val="none" w:sz="0" w:space="0" w:color="auto"/>
            <w:right w:val="none" w:sz="0" w:space="0" w:color="auto"/>
          </w:divBdr>
        </w:div>
        <w:div w:id="1225290164">
          <w:marLeft w:val="360"/>
          <w:marRight w:val="0"/>
          <w:marTop w:val="200"/>
          <w:marBottom w:val="0"/>
          <w:divBdr>
            <w:top w:val="none" w:sz="0" w:space="0" w:color="auto"/>
            <w:left w:val="none" w:sz="0" w:space="0" w:color="auto"/>
            <w:bottom w:val="none" w:sz="0" w:space="0" w:color="auto"/>
            <w:right w:val="none" w:sz="0" w:space="0" w:color="auto"/>
          </w:divBdr>
        </w:div>
      </w:divsChild>
    </w:div>
    <w:div w:id="1388649363">
      <w:bodyDiv w:val="1"/>
      <w:marLeft w:val="0"/>
      <w:marRight w:val="0"/>
      <w:marTop w:val="0"/>
      <w:marBottom w:val="0"/>
      <w:divBdr>
        <w:top w:val="none" w:sz="0" w:space="0" w:color="auto"/>
        <w:left w:val="none" w:sz="0" w:space="0" w:color="auto"/>
        <w:bottom w:val="none" w:sz="0" w:space="0" w:color="auto"/>
        <w:right w:val="none" w:sz="0" w:space="0" w:color="auto"/>
      </w:divBdr>
    </w:div>
    <w:div w:id="1463887493">
      <w:bodyDiv w:val="1"/>
      <w:marLeft w:val="0"/>
      <w:marRight w:val="0"/>
      <w:marTop w:val="0"/>
      <w:marBottom w:val="0"/>
      <w:divBdr>
        <w:top w:val="none" w:sz="0" w:space="0" w:color="auto"/>
        <w:left w:val="none" w:sz="0" w:space="0" w:color="auto"/>
        <w:bottom w:val="none" w:sz="0" w:space="0" w:color="auto"/>
        <w:right w:val="none" w:sz="0" w:space="0" w:color="auto"/>
      </w:divBdr>
    </w:div>
    <w:div w:id="172360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ilthighere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37509-39B5-4466-8E85-AB8F18EA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Tapp, Suzanne</dc:creator>
  <cp:keywords/>
  <dc:description/>
  <cp:lastModifiedBy>Megan Carlson</cp:lastModifiedBy>
  <cp:revision>10</cp:revision>
  <cp:lastPrinted>2020-04-17T15:44:00Z</cp:lastPrinted>
  <dcterms:created xsi:type="dcterms:W3CDTF">2020-09-14T23:45:00Z</dcterms:created>
  <dcterms:modified xsi:type="dcterms:W3CDTF">2020-09-22T19:45:00Z</dcterms:modified>
</cp:coreProperties>
</file>