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FE" w:rsidRPr="00D20A5F" w:rsidRDefault="005F4DFE" w:rsidP="00D20A5F">
      <w:pPr>
        <w:spacing w:after="0" w:line="360" w:lineRule="auto"/>
        <w:rPr>
          <w:rFonts w:ascii="Arial Narrow" w:hAnsi="Arial Narrow" w:cs="Times New Roman"/>
          <w:b/>
          <w:sz w:val="32"/>
          <w:szCs w:val="32"/>
        </w:rPr>
      </w:pPr>
      <w:r w:rsidRPr="00D20A5F">
        <w:rPr>
          <w:rFonts w:ascii="Arial Narrow" w:hAnsi="Arial Narrow" w:cs="Times New Roman"/>
          <w:b/>
          <w:noProof/>
          <w:sz w:val="32"/>
          <w:szCs w:val="32"/>
        </w:rPr>
        <mc:AlternateContent>
          <mc:Choice Requires="wps">
            <w:drawing>
              <wp:anchor distT="0" distB="0" distL="114300" distR="114300" simplePos="0" relativeHeight="251660288" behindDoc="0" locked="0" layoutInCell="1" allowOverlap="1" wp14:anchorId="6EAC0729" wp14:editId="589BA5FB">
                <wp:simplePos x="0" y="0"/>
                <wp:positionH relativeFrom="page">
                  <wp:align>left</wp:align>
                </wp:positionH>
                <wp:positionV relativeFrom="paragraph">
                  <wp:posOffset>87464</wp:posOffset>
                </wp:positionV>
                <wp:extent cx="6400800" cy="96964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9696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5F4DFE" w:rsidRPr="005F4DFE" w:rsidRDefault="005F4DFE" w:rsidP="005F4DFE">
                            <w:pPr>
                              <w:pStyle w:val="ListParagraph"/>
                              <w:jc w:val="center"/>
                              <w:rPr>
                                <w:rFonts w:ascii="Roboto Condensed" w:hAnsi="Roboto Condensed" w:cs="Roboto Condensed"/>
                                <w:i/>
                                <w:color w:val="FFFFFF" w:themeColor="background1"/>
                                <w:w w:val="90"/>
                                <w:sz w:val="48"/>
                                <w:szCs w:val="48"/>
                              </w:rPr>
                            </w:pPr>
                            <w:r w:rsidRPr="005F4DFE">
                              <w:rPr>
                                <w:rFonts w:ascii="Roboto Condensed" w:hAnsi="Roboto Condensed" w:cs="Roboto Condensed"/>
                                <w:i/>
                                <w:color w:val="FFFFFF" w:themeColor="background1"/>
                                <w:w w:val="90"/>
                                <w:sz w:val="48"/>
                                <w:szCs w:val="48"/>
                              </w:rPr>
                              <w:t>Continuing and Professional Education Report</w:t>
                            </w:r>
                          </w:p>
                          <w:p w:rsidR="005F4DFE" w:rsidRPr="0076599E" w:rsidRDefault="005F4DFE" w:rsidP="005F4DFE">
                            <w:pPr>
                              <w:pStyle w:val="ListParagraph"/>
                              <w:jc w:val="center"/>
                              <w:rPr>
                                <w:rFonts w:ascii="Roboto Condensed" w:hAnsi="Roboto Condensed" w:cs="Roboto Condensed"/>
                                <w:i/>
                                <w:color w:val="FFFFFF" w:themeColor="background1"/>
                                <w:w w:val="90"/>
                                <w:sz w:val="36"/>
                                <w:szCs w:val="36"/>
                              </w:rPr>
                            </w:pPr>
                            <w:r>
                              <w:rPr>
                                <w:rFonts w:ascii="Roboto Condensed" w:hAnsi="Roboto Condensed" w:cs="Roboto Condensed"/>
                                <w:i/>
                                <w:color w:val="FFFFFF" w:themeColor="background1"/>
                                <w:w w:val="90"/>
                                <w:sz w:val="36"/>
                                <w:szCs w:val="36"/>
                              </w:rPr>
                              <w:t>May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C0729" id="_x0000_t202" coordsize="21600,21600" o:spt="202" path="m,l,21600r21600,l21600,xe">
                <v:stroke joinstyle="miter"/>
                <v:path gradientshapeok="t" o:connecttype="rect"/>
              </v:shapetype>
              <v:shape id="Text Box 7" o:spid="_x0000_s1026" type="#_x0000_t202" style="position:absolute;margin-left:0;margin-top:6.9pt;width:7in;height:76.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" filled="f" stroked="f">
                <v:path arrowok="t"/>
                <v:textbox>
                  <w:txbxContent>
                    <w:p w:rsidR="005F4DFE" w:rsidRPr="005F4DFE" w:rsidRDefault="005F4DFE" w:rsidP="005F4DFE">
                      <w:pPr>
                        <w:pStyle w:val="ListParagraph"/>
                        <w:jc w:val="center"/>
                        <w:rPr>
                          <w:rFonts w:ascii="Roboto Condensed" w:hAnsi="Roboto Condensed" w:cs="Roboto Condensed"/>
                          <w:i/>
                          <w:color w:val="FFFFFF" w:themeColor="background1"/>
                          <w:w w:val="90"/>
                          <w:sz w:val="48"/>
                          <w:szCs w:val="48"/>
                        </w:rPr>
                      </w:pPr>
                      <w:r w:rsidRPr="005F4DFE">
                        <w:rPr>
                          <w:rFonts w:ascii="Roboto Condensed" w:hAnsi="Roboto Condensed" w:cs="Roboto Condensed"/>
                          <w:i/>
                          <w:color w:val="FFFFFF" w:themeColor="background1"/>
                          <w:w w:val="90"/>
                          <w:sz w:val="48"/>
                          <w:szCs w:val="48"/>
                        </w:rPr>
                        <w:t>Continuing and Professional Education Report</w:t>
                      </w:r>
                    </w:p>
                    <w:p w:rsidR="005F4DFE" w:rsidRPr="0076599E" w:rsidRDefault="005F4DFE" w:rsidP="005F4DFE">
                      <w:pPr>
                        <w:pStyle w:val="ListParagraph"/>
                        <w:jc w:val="center"/>
                        <w:rPr>
                          <w:rFonts w:ascii="Roboto Condensed" w:hAnsi="Roboto Condensed" w:cs="Roboto Condensed"/>
                          <w:i/>
                          <w:color w:val="FFFFFF" w:themeColor="background1"/>
                          <w:w w:val="90"/>
                          <w:sz w:val="36"/>
                          <w:szCs w:val="36"/>
                        </w:rPr>
                      </w:pPr>
                      <w:r>
                        <w:rPr>
                          <w:rFonts w:ascii="Roboto Condensed" w:hAnsi="Roboto Condensed" w:cs="Roboto Condensed"/>
                          <w:i/>
                          <w:color w:val="FFFFFF" w:themeColor="background1"/>
                          <w:w w:val="90"/>
                          <w:sz w:val="36"/>
                          <w:szCs w:val="36"/>
                        </w:rPr>
                        <w:t>May 2019</w:t>
                      </w:r>
                    </w:p>
                  </w:txbxContent>
                </v:textbox>
                <w10:wrap anchorx="page"/>
              </v:shape>
            </w:pict>
          </mc:Fallback>
        </mc:AlternateContent>
      </w:r>
      <w:r w:rsidRPr="00D20A5F">
        <w:rPr>
          <w:rFonts w:ascii="Arial Narrow" w:hAnsi="Arial Narrow" w:cs="Times New Roman"/>
          <w:noProof/>
          <w:sz w:val="32"/>
          <w:szCs w:val="32"/>
        </w:rPr>
        <w:drawing>
          <wp:anchor distT="0" distB="0" distL="114300" distR="114300" simplePos="0" relativeHeight="251659264" behindDoc="1" locked="0" layoutInCell="1" allowOverlap="1" wp14:anchorId="663B7236" wp14:editId="11996E44">
            <wp:simplePos x="0" y="0"/>
            <wp:positionH relativeFrom="margin">
              <wp:align>right</wp:align>
            </wp:positionH>
            <wp:positionV relativeFrom="paragraph">
              <wp:posOffset>0</wp:posOffset>
            </wp:positionV>
            <wp:extent cx="6905625" cy="1478280"/>
            <wp:effectExtent l="0" t="0" r="9525" b="7620"/>
            <wp:wrapTight wrapText="bothSides">
              <wp:wrapPolygon edited="0">
                <wp:start x="0" y="0"/>
                <wp:lineTo x="0" y="21433"/>
                <wp:lineTo x="21570" y="21433"/>
                <wp:lineTo x="21570" y="0"/>
                <wp:lineTo x="0" y="0"/>
              </wp:wrapPolygon>
            </wp:wrapTight>
            <wp:docPr id="6" name="Picture 6" descr="Full Bckgrnd-tx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ll Bckgrnd-txtr"/>
                    <pic:cNvPicPr>
                      <a:picLocks noChangeAspect="1"/>
                    </pic:cNvPicPr>
                  </pic:nvPicPr>
                  <pic:blipFill rotWithShape="1">
                    <a:blip r:embed="rId7">
                      <a:extLst>
                        <a:ext uri="{28A0092B-C50C-407E-A947-70E740481C1C}">
                          <a14:useLocalDpi xmlns:a14="http://schemas.microsoft.com/office/drawing/2010/main" val="0"/>
                        </a:ext>
                      </a:extLst>
                    </a:blip>
                    <a:srcRect b="85238"/>
                    <a:stretch/>
                  </pic:blipFill>
                  <pic:spPr bwMode="auto">
                    <a:xfrm>
                      <a:off x="0" y="0"/>
                      <a:ext cx="6905625" cy="1478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D20A5F">
        <w:rPr>
          <w:rFonts w:ascii="Arial Narrow" w:hAnsi="Arial Narrow" w:cs="Times New Roman"/>
          <w:b/>
          <w:noProof/>
          <w:sz w:val="32"/>
          <w:szCs w:val="32"/>
        </w:rPr>
        <w:drawing>
          <wp:anchor distT="0" distB="0" distL="114300" distR="114300" simplePos="0" relativeHeight="251661312" behindDoc="1" locked="0" layoutInCell="1" allowOverlap="1" wp14:anchorId="4627E8B7" wp14:editId="04178F4C">
            <wp:simplePos x="0" y="0"/>
            <wp:positionH relativeFrom="column">
              <wp:posOffset>5671736</wp:posOffset>
            </wp:positionH>
            <wp:positionV relativeFrom="paragraph">
              <wp:posOffset>297180</wp:posOffset>
            </wp:positionV>
            <wp:extent cx="982980" cy="385445"/>
            <wp:effectExtent l="0" t="0" r="7620" b="0"/>
            <wp:wrapTight wrapText="bothSides">
              <wp:wrapPolygon edited="0">
                <wp:start x="0" y="0"/>
                <wp:lineTo x="0" y="20283"/>
                <wp:lineTo x="21349" y="20283"/>
                <wp:lineTo x="213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 ltr gold swsh.jpg"/>
                    <pic:cNvPicPr/>
                  </pic:nvPicPr>
                  <pic:blipFill rotWithShape="1">
                    <a:blip r:embed="rId8" cstate="print">
                      <a:extLst>
                        <a:ext uri="{28A0092B-C50C-407E-A947-70E740481C1C}">
                          <a14:useLocalDpi xmlns:a14="http://schemas.microsoft.com/office/drawing/2010/main" val="0"/>
                        </a:ext>
                      </a:extLst>
                    </a:blip>
                    <a:srcRect l="8597" t="13385" r="8326" b="10313"/>
                    <a:stretch/>
                  </pic:blipFill>
                  <pic:spPr bwMode="auto">
                    <a:xfrm>
                      <a:off x="0" y="0"/>
                      <a:ext cx="982980" cy="385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0A5F">
        <w:rPr>
          <w:rFonts w:ascii="Arial Narrow" w:hAnsi="Arial Narrow" w:cs="Times New Roman"/>
          <w:b/>
          <w:sz w:val="32"/>
          <w:szCs w:val="32"/>
        </w:rPr>
        <w:t>Charge and Membership</w:t>
      </w:r>
    </w:p>
    <w:p w:rsidR="00D267AE" w:rsidRPr="00D20A5F" w:rsidRDefault="005F4DFE" w:rsidP="005F4DFE">
      <w:pPr>
        <w:spacing w:after="0"/>
        <w:rPr>
          <w:rFonts w:ascii="Arial Narrow" w:hAnsi="Arial Narrow" w:cs="Times New Roman"/>
        </w:rPr>
      </w:pPr>
      <w:r w:rsidRPr="00D20A5F">
        <w:rPr>
          <w:rFonts w:ascii="Arial Narrow" w:hAnsi="Arial Narrow" w:cs="Times New Roman"/>
        </w:rPr>
        <w:t xml:space="preserve">In December </w:t>
      </w:r>
      <w:r w:rsidR="00664769" w:rsidRPr="00D20A5F">
        <w:rPr>
          <w:rFonts w:ascii="Arial Narrow" w:hAnsi="Arial Narrow" w:cs="Times New Roman"/>
        </w:rPr>
        <w:t>2018,</w:t>
      </w:r>
      <w:r w:rsidRPr="00D20A5F">
        <w:rPr>
          <w:rFonts w:ascii="Arial Narrow" w:hAnsi="Arial Narrow" w:cs="Times New Roman"/>
        </w:rPr>
        <w:t xml:space="preserve"> a task force </w:t>
      </w:r>
      <w:r w:rsidR="007A408C" w:rsidRPr="00D20A5F">
        <w:rPr>
          <w:rFonts w:ascii="Arial Narrow" w:hAnsi="Arial Narrow" w:cs="Times New Roman"/>
        </w:rPr>
        <w:t>appointed</w:t>
      </w:r>
      <w:r w:rsidRPr="00D20A5F">
        <w:rPr>
          <w:rFonts w:ascii="Arial Narrow" w:hAnsi="Arial Narrow" w:cs="Times New Roman"/>
        </w:rPr>
        <w:t xml:space="preserve"> by Chancellor Sandeen</w:t>
      </w:r>
      <w:r w:rsidR="00664769">
        <w:rPr>
          <w:rFonts w:ascii="Arial Narrow" w:hAnsi="Arial Narrow" w:cs="Times New Roman"/>
        </w:rPr>
        <w:t>, sought</w:t>
      </w:r>
      <w:r w:rsidRPr="00D20A5F">
        <w:rPr>
          <w:rFonts w:ascii="Arial Narrow" w:hAnsi="Arial Narrow" w:cs="Times New Roman"/>
        </w:rPr>
        <w:t xml:space="preserve"> to answer the following questions related to UAA’s continuing and professional education </w:t>
      </w:r>
      <w:r w:rsidR="00D267AE" w:rsidRPr="00D20A5F">
        <w:rPr>
          <w:rFonts w:ascii="Arial Narrow" w:hAnsi="Arial Narrow" w:cs="Times New Roman"/>
        </w:rPr>
        <w:t xml:space="preserve">(CPE) </w:t>
      </w:r>
      <w:r w:rsidRPr="00D20A5F">
        <w:rPr>
          <w:rFonts w:ascii="Arial Narrow" w:hAnsi="Arial Narrow" w:cs="Times New Roman"/>
        </w:rPr>
        <w:t xml:space="preserve">programming. </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 xml:space="preserve">What is </w:t>
      </w:r>
      <w:r w:rsidR="005F4DFE" w:rsidRPr="00D20A5F">
        <w:rPr>
          <w:rFonts w:ascii="Arial Narrow" w:hAnsi="Arial Narrow" w:cs="Times New Roman"/>
        </w:rPr>
        <w:t>the current state</w:t>
      </w:r>
      <w:r w:rsidRPr="00D20A5F">
        <w:rPr>
          <w:rFonts w:ascii="Arial Narrow" w:hAnsi="Arial Narrow" w:cs="Times New Roman"/>
        </w:rPr>
        <w:t xml:space="preserve"> of CPE programs at UAA?</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How are similar institutions organized to serve the CPE market?</w:t>
      </w:r>
      <w:r w:rsidR="005F4DFE" w:rsidRPr="00D20A5F">
        <w:rPr>
          <w:rFonts w:ascii="Arial Narrow" w:hAnsi="Arial Narrow" w:cs="Times New Roman"/>
        </w:rPr>
        <w:t xml:space="preserve">  </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 xml:space="preserve">What is the main purpose of our </w:t>
      </w:r>
      <w:r w:rsidR="00552C54" w:rsidRPr="00D20A5F">
        <w:rPr>
          <w:rFonts w:ascii="Arial Narrow" w:hAnsi="Arial Narrow" w:cs="Times New Roman"/>
        </w:rPr>
        <w:t xml:space="preserve">existing </w:t>
      </w:r>
      <w:r w:rsidRPr="00D20A5F">
        <w:rPr>
          <w:rFonts w:ascii="Arial Narrow" w:hAnsi="Arial Narrow" w:cs="Times New Roman"/>
        </w:rPr>
        <w:t>CPE programs?</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What models of centralization might be most appropriate at UAA?</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What types of programs should UAA offer, and in what format</w:t>
      </w:r>
      <w:r w:rsidR="00552C54" w:rsidRPr="00D20A5F">
        <w:rPr>
          <w:rFonts w:ascii="Arial Narrow" w:hAnsi="Arial Narrow" w:cs="Times New Roman"/>
        </w:rPr>
        <w:t xml:space="preserve"> (i.e. open enrollment, online, hybrid)</w:t>
      </w:r>
      <w:r w:rsidRPr="00D20A5F">
        <w:rPr>
          <w:rFonts w:ascii="Arial Narrow" w:hAnsi="Arial Narrow" w:cs="Times New Roman"/>
        </w:rPr>
        <w:t>?</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How do we involve faculty in CPE programs?</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Which policies might need to be developed or revised in order for us to effectively offer CPE programs?</w:t>
      </w:r>
    </w:p>
    <w:p w:rsidR="00D267A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What are some appropriate measures for us to track progress?</w:t>
      </w:r>
    </w:p>
    <w:p w:rsidR="005F4DFE" w:rsidRPr="00D20A5F" w:rsidRDefault="00D267AE" w:rsidP="00D267AE">
      <w:pPr>
        <w:pStyle w:val="ListParagraph"/>
        <w:numPr>
          <w:ilvl w:val="0"/>
          <w:numId w:val="1"/>
        </w:numPr>
        <w:spacing w:after="0"/>
        <w:rPr>
          <w:rFonts w:ascii="Arial Narrow" w:hAnsi="Arial Narrow" w:cs="Times New Roman"/>
        </w:rPr>
      </w:pPr>
      <w:r w:rsidRPr="00D20A5F">
        <w:rPr>
          <w:rFonts w:ascii="Arial Narrow" w:hAnsi="Arial Narrow" w:cs="Times New Roman"/>
        </w:rPr>
        <w:t>What are options for an enhanced CPE unit at UAA</w:t>
      </w:r>
      <w:r w:rsidR="00552C54" w:rsidRPr="00D20A5F">
        <w:rPr>
          <w:rFonts w:ascii="Arial Narrow" w:hAnsi="Arial Narrow" w:cs="Times New Roman"/>
        </w:rPr>
        <w:t xml:space="preserve"> and next steps for achievement</w:t>
      </w:r>
      <w:r w:rsidRPr="00D20A5F">
        <w:rPr>
          <w:rFonts w:ascii="Arial Narrow" w:hAnsi="Arial Narrow" w:cs="Times New Roman"/>
        </w:rPr>
        <w:t>?</w:t>
      </w:r>
      <w:r w:rsidR="005F4DFE" w:rsidRPr="00D20A5F">
        <w:rPr>
          <w:rFonts w:ascii="Arial Narrow" w:hAnsi="Arial Narrow" w:cs="Times New Roman"/>
          <w:b/>
        </w:rPr>
        <w:tab/>
      </w:r>
    </w:p>
    <w:p w:rsidR="005F4DFE" w:rsidRPr="00D20A5F" w:rsidRDefault="005F4DFE" w:rsidP="005F4DFE">
      <w:pPr>
        <w:spacing w:after="0"/>
        <w:rPr>
          <w:rFonts w:ascii="Arial Narrow" w:hAnsi="Arial Narrow" w:cs="Times New Roman"/>
          <w:b/>
          <w:sz w:val="24"/>
          <w:szCs w:val="24"/>
        </w:rPr>
      </w:pPr>
    </w:p>
    <w:p w:rsidR="005F4DFE" w:rsidRPr="00D20A5F" w:rsidRDefault="005F4DFE" w:rsidP="005F4DFE">
      <w:pPr>
        <w:spacing w:after="0"/>
        <w:rPr>
          <w:rFonts w:ascii="Arial Narrow" w:hAnsi="Arial Narrow" w:cs="Times New Roman"/>
        </w:rPr>
      </w:pPr>
      <w:r w:rsidRPr="00D20A5F">
        <w:rPr>
          <w:rFonts w:ascii="Arial Narrow" w:hAnsi="Arial Narrow" w:cs="Times New Roman"/>
          <w:b/>
        </w:rPr>
        <w:t xml:space="preserve">Co- Chairs: </w:t>
      </w:r>
      <w:r w:rsidRPr="00D20A5F">
        <w:rPr>
          <w:rFonts w:ascii="Arial Narrow" w:hAnsi="Arial Narrow" w:cs="Times New Roman"/>
          <w:b/>
        </w:rPr>
        <w:tab/>
      </w:r>
      <w:r w:rsidRPr="00D20A5F">
        <w:rPr>
          <w:rFonts w:ascii="Arial Narrow" w:hAnsi="Arial Narrow" w:cs="Times New Roman"/>
        </w:rPr>
        <w:t xml:space="preserve">Christi Bell, Assoc. Vice </w:t>
      </w:r>
      <w:r w:rsidR="00552C54" w:rsidRPr="00D20A5F">
        <w:rPr>
          <w:rFonts w:ascii="Arial Narrow" w:hAnsi="Arial Narrow" w:cs="Times New Roman"/>
        </w:rPr>
        <w:t>Chancellor</w:t>
      </w:r>
      <w:r w:rsidRPr="00D20A5F">
        <w:rPr>
          <w:rFonts w:ascii="Arial Narrow" w:hAnsi="Arial Narrow" w:cs="Times New Roman"/>
        </w:rPr>
        <w:t xml:space="preserve"> and Executive Director, UAA Business Enterprise Institute</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t xml:space="preserve">       </w:t>
      </w:r>
      <w:r w:rsidRPr="00D20A5F">
        <w:rPr>
          <w:rFonts w:ascii="Arial Narrow" w:hAnsi="Arial Narrow" w:cs="Times New Roman"/>
        </w:rPr>
        <w:tab/>
        <w:t>Bonnie Nygard, Director of Workforce Development</w:t>
      </w:r>
    </w:p>
    <w:p w:rsidR="005F4DFE" w:rsidRPr="00D20A5F" w:rsidRDefault="005F4DFE" w:rsidP="005F4DFE">
      <w:pPr>
        <w:spacing w:after="0"/>
        <w:rPr>
          <w:rFonts w:ascii="Arial Narrow" w:hAnsi="Arial Narrow" w:cs="Times New Roman"/>
        </w:rPr>
      </w:pPr>
      <w:r w:rsidRPr="00D20A5F">
        <w:rPr>
          <w:rFonts w:ascii="Arial Narrow" w:hAnsi="Arial Narrow" w:cs="Times New Roman"/>
          <w:b/>
        </w:rPr>
        <w:t xml:space="preserve">Members:  </w:t>
      </w:r>
      <w:r w:rsidRPr="00D20A5F">
        <w:rPr>
          <w:rFonts w:ascii="Arial Narrow" w:hAnsi="Arial Narrow" w:cs="Times New Roman"/>
          <w:b/>
        </w:rPr>
        <w:tab/>
      </w:r>
      <w:r w:rsidRPr="00D20A5F">
        <w:rPr>
          <w:rFonts w:ascii="Arial Narrow" w:hAnsi="Arial Narrow" w:cs="Times New Roman"/>
        </w:rPr>
        <w:t>Gloria Burnett, Director, Alaska AHEC Program, College of Health</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Talis Colberg, Campus Director, Mat-Su College</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John Duffy, Adjunct, College of Business and Public Policy</w:t>
      </w:r>
    </w:p>
    <w:p w:rsidR="005F4DFE" w:rsidRPr="00D20A5F" w:rsidRDefault="005F4DFE" w:rsidP="005F4DFE">
      <w:pPr>
        <w:spacing w:after="0"/>
        <w:ind w:left="720" w:firstLine="720"/>
        <w:rPr>
          <w:rFonts w:ascii="Arial Narrow" w:hAnsi="Arial Narrow" w:cs="Times New Roman"/>
        </w:rPr>
      </w:pPr>
      <w:r w:rsidRPr="00D20A5F">
        <w:rPr>
          <w:rFonts w:ascii="Arial Narrow" w:hAnsi="Arial Narrow" w:cs="Times New Roman"/>
        </w:rPr>
        <w:t>Paul Dunscomb, Professor and Chair Department of History, College of Arts and Sciences</w:t>
      </w:r>
    </w:p>
    <w:p w:rsidR="005F4DFE" w:rsidRPr="00D20A5F" w:rsidRDefault="005F4DFE" w:rsidP="005F4DFE">
      <w:pPr>
        <w:spacing w:after="0"/>
        <w:ind w:left="720" w:firstLine="720"/>
        <w:rPr>
          <w:rFonts w:ascii="Arial Narrow" w:hAnsi="Arial Narrow" w:cs="Times New Roman"/>
        </w:rPr>
      </w:pPr>
      <w:r w:rsidRPr="00D20A5F">
        <w:rPr>
          <w:rFonts w:ascii="Arial Narrow" w:hAnsi="Arial Narrow" w:cs="Times New Roman"/>
        </w:rPr>
        <w:t>Jennifer Harty, PACE Coordinator, School of Education</w:t>
      </w:r>
    </w:p>
    <w:p w:rsidR="005F4DFE" w:rsidRPr="00D20A5F" w:rsidRDefault="005F4DFE" w:rsidP="005F4DFE">
      <w:pPr>
        <w:spacing w:after="0"/>
        <w:ind w:left="720" w:firstLine="720"/>
        <w:rPr>
          <w:rFonts w:ascii="Arial Narrow" w:hAnsi="Arial Narrow" w:cs="Times New Roman"/>
        </w:rPr>
      </w:pPr>
      <w:r w:rsidRPr="00D20A5F">
        <w:rPr>
          <w:rFonts w:ascii="Arial Narrow" w:hAnsi="Arial Narrow" w:cs="Times New Roman"/>
        </w:rPr>
        <w:t>Jason Hotch, Staff Council Representative &amp; Fiscal Specialist, College of Engineering</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Dan Kline, Director General Education, College of Arts and Sciences</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Jeff Libby, Associate Dean, Community and Technical College</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Karen Markel, Dean, College of Business and Public Policy</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Marianne Murray, Director School of Nursing, College of Health</w:t>
      </w:r>
    </w:p>
    <w:p w:rsidR="005F4DFE" w:rsidRPr="00D20A5F" w:rsidRDefault="005F4DFE" w:rsidP="005F4DFE">
      <w:pPr>
        <w:spacing w:after="0"/>
        <w:ind w:left="720" w:firstLine="720"/>
        <w:rPr>
          <w:rFonts w:ascii="Arial Narrow" w:hAnsi="Arial Narrow" w:cs="Times New Roman"/>
        </w:rPr>
      </w:pPr>
      <w:r w:rsidRPr="00D20A5F">
        <w:rPr>
          <w:rFonts w:ascii="Arial Narrow" w:hAnsi="Arial Narrow" w:cs="Times New Roman"/>
        </w:rPr>
        <w:t>Molly Orheim, Director, Career Exploration &amp; Services</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LuAnn Piccard, Project Management Department Chair, College of Engineering</w:t>
      </w:r>
    </w:p>
    <w:p w:rsidR="005F4DFE" w:rsidRPr="00D20A5F" w:rsidRDefault="005F4DFE" w:rsidP="005F4DFE">
      <w:pPr>
        <w:spacing w:after="0"/>
        <w:ind w:left="720" w:firstLine="720"/>
        <w:rPr>
          <w:rFonts w:ascii="Arial Narrow" w:hAnsi="Arial Narrow" w:cs="Times New Roman"/>
        </w:rPr>
      </w:pPr>
      <w:r w:rsidRPr="00D20A5F">
        <w:rPr>
          <w:rFonts w:ascii="Arial Narrow" w:hAnsi="Arial Narrow" w:cs="Times New Roman"/>
        </w:rPr>
        <w:t>Kelly Smith, Faculty Senate Representative &amp; Community and Technical College</w:t>
      </w:r>
    </w:p>
    <w:p w:rsidR="005F4DFE" w:rsidRPr="00D20A5F" w:rsidRDefault="005F4DFE" w:rsidP="005F4DFE">
      <w:pPr>
        <w:spacing w:after="0"/>
        <w:rPr>
          <w:rFonts w:ascii="Arial Narrow" w:hAnsi="Arial Narrow" w:cs="Times New Roman"/>
        </w:rPr>
      </w:pPr>
      <w:r w:rsidRPr="00D20A5F">
        <w:rPr>
          <w:rFonts w:ascii="Arial Narrow" w:hAnsi="Arial Narrow" w:cs="Times New Roman"/>
        </w:rPr>
        <w:tab/>
      </w:r>
      <w:r w:rsidRPr="00D20A5F">
        <w:rPr>
          <w:rFonts w:ascii="Arial Narrow" w:hAnsi="Arial Narrow" w:cs="Times New Roman"/>
        </w:rPr>
        <w:tab/>
        <w:t>Lisa Wedin, Program Manager, Center for Corporate and Professional Development</w:t>
      </w:r>
    </w:p>
    <w:p w:rsidR="005F4DFE" w:rsidRPr="00D20A5F" w:rsidRDefault="005F4DFE" w:rsidP="005F4DFE">
      <w:pPr>
        <w:spacing w:after="0"/>
        <w:rPr>
          <w:rFonts w:ascii="Arial Narrow" w:hAnsi="Arial Narrow" w:cs="Times New Roman"/>
        </w:rPr>
      </w:pPr>
    </w:p>
    <w:p w:rsidR="005F4DFE" w:rsidRPr="00D20A5F" w:rsidRDefault="00D267AE" w:rsidP="00D20A5F">
      <w:pPr>
        <w:spacing w:after="0" w:line="360" w:lineRule="auto"/>
        <w:rPr>
          <w:rFonts w:ascii="Arial Narrow" w:hAnsi="Arial Narrow" w:cs="Times New Roman"/>
          <w:b/>
          <w:sz w:val="32"/>
          <w:szCs w:val="32"/>
        </w:rPr>
      </w:pPr>
      <w:r w:rsidRPr="00D20A5F">
        <w:rPr>
          <w:rFonts w:ascii="Arial Narrow" w:hAnsi="Arial Narrow" w:cs="Times New Roman"/>
          <w:b/>
          <w:sz w:val="32"/>
          <w:szCs w:val="32"/>
        </w:rPr>
        <w:t>Process and Findings</w:t>
      </w:r>
    </w:p>
    <w:p w:rsidR="00D267AE" w:rsidRPr="00D20A5F" w:rsidRDefault="00107CDF" w:rsidP="005F4DFE">
      <w:pPr>
        <w:spacing w:after="0"/>
        <w:rPr>
          <w:rFonts w:ascii="Arial Narrow" w:hAnsi="Arial Narrow" w:cs="Times New Roman"/>
          <w:sz w:val="24"/>
          <w:szCs w:val="24"/>
        </w:rPr>
      </w:pPr>
      <w:r>
        <w:rPr>
          <w:rFonts w:ascii="Arial Narrow" w:hAnsi="Arial Narrow" w:cs="Times New Roman"/>
          <w:sz w:val="24"/>
          <w:szCs w:val="24"/>
        </w:rPr>
        <w:t xml:space="preserve">The CPE task force </w:t>
      </w:r>
      <w:r w:rsidR="00664769">
        <w:rPr>
          <w:rFonts w:ascii="Arial Narrow" w:hAnsi="Arial Narrow" w:cs="Times New Roman"/>
          <w:sz w:val="24"/>
          <w:szCs w:val="24"/>
        </w:rPr>
        <w:t>reviewed</w:t>
      </w:r>
      <w:r>
        <w:rPr>
          <w:rFonts w:ascii="Arial Narrow" w:hAnsi="Arial Narrow" w:cs="Times New Roman"/>
          <w:sz w:val="24"/>
          <w:szCs w:val="24"/>
        </w:rPr>
        <w:t xml:space="preserve"> continuing and professional education (CPE) targeted to adult working professionals offered through UAA.</w:t>
      </w:r>
      <w:r w:rsidRPr="00D20A5F">
        <w:rPr>
          <w:rFonts w:ascii="Arial Narrow" w:hAnsi="Arial Narrow" w:cs="Times New Roman"/>
          <w:sz w:val="24"/>
          <w:szCs w:val="24"/>
        </w:rPr>
        <w:t xml:space="preserve"> </w:t>
      </w:r>
      <w:r w:rsidR="00D267AE" w:rsidRPr="00D20A5F">
        <w:rPr>
          <w:rFonts w:ascii="Arial Narrow" w:hAnsi="Arial Narrow" w:cs="Times New Roman"/>
          <w:sz w:val="24"/>
          <w:szCs w:val="24"/>
        </w:rPr>
        <w:t xml:space="preserve">The CPE task force </w:t>
      </w:r>
      <w:r w:rsidR="004F336F" w:rsidRPr="00D20A5F">
        <w:rPr>
          <w:rFonts w:ascii="Arial Narrow" w:hAnsi="Arial Narrow" w:cs="Times New Roman"/>
          <w:sz w:val="24"/>
          <w:szCs w:val="24"/>
        </w:rPr>
        <w:t>met between</w:t>
      </w:r>
      <w:r w:rsidR="00D267AE" w:rsidRPr="00D20A5F">
        <w:rPr>
          <w:rFonts w:ascii="Arial Narrow" w:hAnsi="Arial Narrow" w:cs="Times New Roman"/>
          <w:sz w:val="24"/>
          <w:szCs w:val="24"/>
        </w:rPr>
        <w:t xml:space="preserve"> January </w:t>
      </w:r>
      <w:r w:rsidR="004F336F" w:rsidRPr="00D20A5F">
        <w:rPr>
          <w:rFonts w:ascii="Arial Narrow" w:hAnsi="Arial Narrow" w:cs="Times New Roman"/>
          <w:sz w:val="24"/>
          <w:szCs w:val="24"/>
        </w:rPr>
        <w:t xml:space="preserve">and March </w:t>
      </w:r>
      <w:r w:rsidR="00D267AE" w:rsidRPr="00D20A5F">
        <w:rPr>
          <w:rFonts w:ascii="Arial Narrow" w:hAnsi="Arial Narrow" w:cs="Times New Roman"/>
          <w:sz w:val="24"/>
          <w:szCs w:val="24"/>
        </w:rPr>
        <w:t>2019</w:t>
      </w:r>
      <w:r w:rsidR="00AE6A9D" w:rsidRPr="00D20A5F">
        <w:rPr>
          <w:rFonts w:ascii="Arial Narrow" w:hAnsi="Arial Narrow" w:cs="Times New Roman"/>
          <w:sz w:val="24"/>
          <w:szCs w:val="24"/>
        </w:rPr>
        <w:t xml:space="preserve">.  </w:t>
      </w:r>
      <w:r w:rsidR="00D20A5F">
        <w:rPr>
          <w:rFonts w:ascii="Arial Narrow" w:hAnsi="Arial Narrow" w:cs="Times New Roman"/>
          <w:sz w:val="24"/>
          <w:szCs w:val="24"/>
        </w:rPr>
        <w:t xml:space="preserve">The overarching charge of the task force was to determine if UAA has the potential to expand programs in the area of </w:t>
      </w:r>
      <w:r>
        <w:rPr>
          <w:rFonts w:ascii="Arial Narrow" w:hAnsi="Arial Narrow" w:cs="Times New Roman"/>
          <w:sz w:val="24"/>
          <w:szCs w:val="24"/>
        </w:rPr>
        <w:t>CPE</w:t>
      </w:r>
      <w:r w:rsidR="00D20A5F">
        <w:rPr>
          <w:rFonts w:ascii="Arial Narrow" w:hAnsi="Arial Narrow" w:cs="Times New Roman"/>
          <w:sz w:val="24"/>
          <w:szCs w:val="24"/>
        </w:rPr>
        <w:t>. To both improve our understanding of the current mix of programming as well as to address specific questions raised in the charge, t</w:t>
      </w:r>
      <w:r w:rsidR="00AE6A9D" w:rsidRPr="00D20A5F">
        <w:rPr>
          <w:rFonts w:ascii="Arial Narrow" w:hAnsi="Arial Narrow" w:cs="Times New Roman"/>
          <w:sz w:val="24"/>
          <w:szCs w:val="24"/>
        </w:rPr>
        <w:t xml:space="preserve">he task force </w:t>
      </w:r>
      <w:r w:rsidR="00552C54" w:rsidRPr="00D20A5F">
        <w:rPr>
          <w:rFonts w:ascii="Arial Narrow" w:hAnsi="Arial Narrow" w:cs="Times New Roman"/>
          <w:sz w:val="24"/>
          <w:szCs w:val="24"/>
        </w:rPr>
        <w:t>established</w:t>
      </w:r>
      <w:r w:rsidR="00D267AE" w:rsidRPr="00D20A5F">
        <w:rPr>
          <w:rFonts w:ascii="Arial Narrow" w:hAnsi="Arial Narrow" w:cs="Times New Roman"/>
          <w:sz w:val="24"/>
          <w:szCs w:val="24"/>
        </w:rPr>
        <w:t xml:space="preserve"> subcommittees, each assigned to research and answer questions posed in the charge. The following information </w:t>
      </w:r>
      <w:r w:rsidR="00552C54" w:rsidRPr="00D20A5F">
        <w:rPr>
          <w:rFonts w:ascii="Arial Narrow" w:hAnsi="Arial Narrow" w:cs="Times New Roman"/>
          <w:sz w:val="24"/>
          <w:szCs w:val="24"/>
        </w:rPr>
        <w:t>is a summary of outcomes</w:t>
      </w:r>
      <w:r w:rsidR="00D267AE" w:rsidRPr="00D20A5F">
        <w:rPr>
          <w:rFonts w:ascii="Arial Narrow" w:hAnsi="Arial Narrow" w:cs="Times New Roman"/>
          <w:sz w:val="24"/>
          <w:szCs w:val="24"/>
        </w:rPr>
        <w:t>.</w:t>
      </w:r>
    </w:p>
    <w:p w:rsidR="00D267AE" w:rsidRPr="00D20A5F" w:rsidRDefault="00D267AE" w:rsidP="005F4DFE">
      <w:pPr>
        <w:spacing w:after="0"/>
        <w:rPr>
          <w:rFonts w:ascii="Arial Narrow" w:hAnsi="Arial Narrow" w:cs="Times New Roman"/>
          <w:sz w:val="24"/>
          <w:szCs w:val="24"/>
        </w:rPr>
      </w:pPr>
    </w:p>
    <w:p w:rsidR="00D267AE" w:rsidRPr="00D20A5F" w:rsidRDefault="006F7F47" w:rsidP="00D267AE">
      <w:pPr>
        <w:rPr>
          <w:rFonts w:ascii="Arial Narrow" w:eastAsia="Times New Roman" w:hAnsi="Arial Narrow" w:cs="Times New Roman"/>
          <w:sz w:val="24"/>
          <w:szCs w:val="24"/>
        </w:rPr>
      </w:pPr>
      <w:r w:rsidRPr="00D20A5F">
        <w:rPr>
          <w:rFonts w:ascii="Arial Narrow" w:hAnsi="Arial Narrow" w:cs="Times New Roman"/>
          <w:b/>
          <w:sz w:val="24"/>
          <w:szCs w:val="24"/>
        </w:rPr>
        <w:t>Degree Centralization/Program Array</w:t>
      </w:r>
      <w:r w:rsidR="00D267AE" w:rsidRPr="00D20A5F">
        <w:rPr>
          <w:rFonts w:ascii="Arial Narrow" w:hAnsi="Arial Narrow" w:cs="Times New Roman"/>
          <w:b/>
          <w:sz w:val="24"/>
          <w:szCs w:val="24"/>
        </w:rPr>
        <w:t xml:space="preserve">:  </w:t>
      </w:r>
      <w:r w:rsidR="00D267AE" w:rsidRPr="00D20A5F">
        <w:rPr>
          <w:rFonts w:ascii="Arial Narrow" w:hAnsi="Arial Narrow" w:cs="Times New Roman"/>
          <w:sz w:val="24"/>
          <w:szCs w:val="24"/>
        </w:rPr>
        <w:t xml:space="preserve">UAA </w:t>
      </w:r>
      <w:r w:rsidR="00B51434">
        <w:rPr>
          <w:rFonts w:ascii="Arial Narrow" w:hAnsi="Arial Narrow" w:cs="Times New Roman"/>
          <w:sz w:val="24"/>
          <w:szCs w:val="24"/>
        </w:rPr>
        <w:t xml:space="preserve">is the largest campus located in the largest business and economic center of Alaska. UAA </w:t>
      </w:r>
      <w:r w:rsidR="00D267AE" w:rsidRPr="00D20A5F">
        <w:rPr>
          <w:rFonts w:ascii="Arial Narrow" w:hAnsi="Arial Narrow" w:cs="Times New Roman"/>
          <w:sz w:val="24"/>
          <w:szCs w:val="24"/>
        </w:rPr>
        <w:t>currently</w:t>
      </w:r>
      <w:r w:rsidR="00D267AE" w:rsidRPr="00D20A5F">
        <w:rPr>
          <w:rFonts w:ascii="Arial Narrow" w:eastAsia="Times New Roman" w:hAnsi="Arial Narrow" w:cs="Times New Roman"/>
          <w:sz w:val="24"/>
          <w:szCs w:val="24"/>
        </w:rPr>
        <w:t xml:space="preserve"> delivers CPE offerings in a decentralized model. Each college and community campus has the ability to deliver offerings to their respective communities/constituents, and each manages their registration and delivery systems</w:t>
      </w:r>
      <w:r w:rsidR="00552C54" w:rsidRPr="00D20A5F">
        <w:rPr>
          <w:rFonts w:ascii="Arial Narrow" w:eastAsia="Times New Roman" w:hAnsi="Arial Narrow" w:cs="Times New Roman"/>
          <w:sz w:val="24"/>
          <w:szCs w:val="24"/>
        </w:rPr>
        <w:t xml:space="preserve"> uniquely</w:t>
      </w:r>
      <w:r w:rsidR="00D267AE" w:rsidRPr="00D20A5F">
        <w:rPr>
          <w:rFonts w:ascii="Arial Narrow" w:eastAsia="Times New Roman" w:hAnsi="Arial Narrow" w:cs="Times New Roman"/>
          <w:sz w:val="24"/>
          <w:szCs w:val="24"/>
        </w:rPr>
        <w:t xml:space="preserve">. </w:t>
      </w:r>
      <w:r w:rsidR="00664769">
        <w:rPr>
          <w:rFonts w:ascii="Arial Narrow" w:eastAsia="Times New Roman" w:hAnsi="Arial Narrow" w:cs="Times New Roman"/>
          <w:sz w:val="24"/>
          <w:szCs w:val="24"/>
        </w:rPr>
        <w:t>UAA has th</w:t>
      </w:r>
      <w:r w:rsidR="00D267AE" w:rsidRPr="00D20A5F">
        <w:rPr>
          <w:rFonts w:ascii="Arial Narrow" w:eastAsia="Times New Roman" w:hAnsi="Arial Narrow" w:cs="Times New Roman"/>
          <w:sz w:val="24"/>
          <w:szCs w:val="24"/>
        </w:rPr>
        <w:t xml:space="preserve">ree primary continuing education </w:t>
      </w:r>
      <w:r w:rsidR="00107CDF">
        <w:rPr>
          <w:rFonts w:ascii="Arial Narrow" w:eastAsia="Times New Roman" w:hAnsi="Arial Narrow" w:cs="Times New Roman"/>
          <w:sz w:val="24"/>
          <w:szCs w:val="24"/>
        </w:rPr>
        <w:t>offerings</w:t>
      </w:r>
      <w:r w:rsidR="00D267AE" w:rsidRPr="00D20A5F">
        <w:rPr>
          <w:rFonts w:ascii="Arial Narrow" w:eastAsia="Times New Roman" w:hAnsi="Arial Narrow" w:cs="Times New Roman"/>
          <w:sz w:val="24"/>
          <w:szCs w:val="24"/>
        </w:rPr>
        <w:t>, including (1) Professional Development and Training, (2) Personal Enrichment, and (3) University Access and College Success.  A central UAA Continuing Education website portal created with links to each UAA college/campus that delivers continuing education offerings</w:t>
      </w:r>
      <w:r w:rsidR="009D6B27">
        <w:rPr>
          <w:rFonts w:ascii="Arial Narrow" w:eastAsia="Times New Roman" w:hAnsi="Arial Narrow" w:cs="Times New Roman"/>
          <w:sz w:val="24"/>
          <w:szCs w:val="24"/>
        </w:rPr>
        <w:t xml:space="preserve"> in the three areas. </w:t>
      </w:r>
      <w:r w:rsidR="00664769">
        <w:rPr>
          <w:rFonts w:ascii="Arial Narrow" w:eastAsia="Times New Roman" w:hAnsi="Arial Narrow" w:cs="Times New Roman"/>
          <w:sz w:val="24"/>
          <w:szCs w:val="24"/>
        </w:rPr>
        <w:t>Targeting of specific markets occurs.</w:t>
      </w:r>
    </w:p>
    <w:p w:rsidR="00D267AE" w:rsidRPr="00D20A5F" w:rsidRDefault="00482773" w:rsidP="00D267AE">
      <w:pPr>
        <w:rPr>
          <w:rFonts w:ascii="Arial Narrow" w:eastAsia="Times New Roman" w:hAnsi="Arial Narrow" w:cs="Times New Roman"/>
          <w:sz w:val="24"/>
          <w:szCs w:val="24"/>
        </w:rPr>
      </w:pPr>
      <w:hyperlink r:id="rId9">
        <w:r w:rsidR="00D267AE" w:rsidRPr="00D20A5F">
          <w:rPr>
            <w:rFonts w:ascii="Arial Narrow" w:eastAsia="Times New Roman" w:hAnsi="Arial Narrow" w:cs="Times New Roman"/>
            <w:color w:val="1155CC"/>
            <w:sz w:val="24"/>
            <w:szCs w:val="24"/>
            <w:u w:val="single"/>
          </w:rPr>
          <w:t>https://www.uaa.alaska.edu/academics/continuing-education/index.cshtml</w:t>
        </w:r>
      </w:hyperlink>
    </w:p>
    <w:p w:rsidR="005F4DFE" w:rsidRPr="00D20A5F" w:rsidRDefault="00D267AE" w:rsidP="007A408C">
      <w:pPr>
        <w:rPr>
          <w:rFonts w:ascii="Arial Narrow" w:eastAsia="Times New Roman" w:hAnsi="Arial Narrow" w:cs="Times New Roman"/>
          <w:sz w:val="24"/>
          <w:szCs w:val="24"/>
        </w:rPr>
      </w:pPr>
      <w:r w:rsidRPr="00D20A5F">
        <w:rPr>
          <w:rFonts w:ascii="Arial Narrow" w:eastAsia="Times New Roman" w:hAnsi="Arial Narrow" w:cs="Times New Roman"/>
          <w:sz w:val="24"/>
          <w:szCs w:val="24"/>
        </w:rPr>
        <w:t>UAA offers Continuing Education through a streamlined and easy-to-use registration system</w:t>
      </w:r>
      <w:r w:rsidR="00552C54" w:rsidRPr="00D20A5F">
        <w:rPr>
          <w:rFonts w:ascii="Arial Narrow" w:eastAsia="Times New Roman" w:hAnsi="Arial Narrow" w:cs="Times New Roman"/>
          <w:sz w:val="24"/>
          <w:szCs w:val="24"/>
        </w:rPr>
        <w:t>, “ASAP”,</w:t>
      </w:r>
      <w:r w:rsidR="00000141" w:rsidRPr="00D20A5F">
        <w:rPr>
          <w:rFonts w:ascii="Arial Narrow" w:eastAsia="Times New Roman" w:hAnsi="Arial Narrow" w:cs="Times New Roman"/>
          <w:sz w:val="24"/>
          <w:szCs w:val="24"/>
        </w:rPr>
        <w:t xml:space="preserve"> separate from Banner</w:t>
      </w:r>
      <w:r w:rsidRPr="00D20A5F">
        <w:rPr>
          <w:rFonts w:ascii="Arial Narrow" w:eastAsia="Times New Roman" w:hAnsi="Arial Narrow" w:cs="Times New Roman"/>
          <w:sz w:val="24"/>
          <w:szCs w:val="24"/>
        </w:rPr>
        <w:t xml:space="preserve">. </w:t>
      </w:r>
      <w:r w:rsidR="003A0478" w:rsidRPr="00D20A5F">
        <w:rPr>
          <w:rFonts w:ascii="Arial Narrow" w:eastAsia="Times New Roman" w:hAnsi="Arial Narrow" w:cs="Times New Roman"/>
          <w:sz w:val="24"/>
          <w:szCs w:val="24"/>
        </w:rPr>
        <w:t>Classes range from non-credit and Continuing Education Units (CEUs) to Workforce Credentials in high demand fields; summer camps</w:t>
      </w:r>
      <w:r w:rsidR="007E5CDC">
        <w:rPr>
          <w:rFonts w:ascii="Arial Narrow" w:eastAsia="Times New Roman" w:hAnsi="Arial Narrow" w:cs="Times New Roman"/>
          <w:sz w:val="24"/>
          <w:szCs w:val="24"/>
        </w:rPr>
        <w:t xml:space="preserve"> for kids; college prep courses;</w:t>
      </w:r>
      <w:r w:rsidR="003A0478" w:rsidRPr="00D20A5F">
        <w:rPr>
          <w:rFonts w:ascii="Arial Narrow" w:eastAsia="Times New Roman" w:hAnsi="Arial Narrow" w:cs="Times New Roman"/>
          <w:sz w:val="24"/>
          <w:szCs w:val="24"/>
        </w:rPr>
        <w:t xml:space="preserve"> and offerings designed to provide personal enrichment for community members. </w:t>
      </w:r>
      <w:r w:rsidRPr="00D20A5F">
        <w:rPr>
          <w:rFonts w:ascii="Arial Narrow" w:eastAsia="Times New Roman" w:hAnsi="Arial Narrow" w:cs="Times New Roman"/>
          <w:sz w:val="24"/>
          <w:szCs w:val="24"/>
        </w:rPr>
        <w:t>Non-credit courses do not count toward a degree; however, participants may receive a certificate of attendance.  Cont</w:t>
      </w:r>
      <w:r w:rsidR="003A0478" w:rsidRPr="00D20A5F">
        <w:rPr>
          <w:rFonts w:ascii="Arial Narrow" w:eastAsia="Times New Roman" w:hAnsi="Arial Narrow" w:cs="Times New Roman"/>
          <w:sz w:val="24"/>
          <w:szCs w:val="24"/>
        </w:rPr>
        <w:t>inuing Education Units (CEUs)</w:t>
      </w:r>
      <w:r w:rsidRPr="00D20A5F">
        <w:rPr>
          <w:rFonts w:ascii="Arial Narrow" w:eastAsia="Times New Roman" w:hAnsi="Arial Narrow" w:cs="Times New Roman"/>
          <w:sz w:val="24"/>
          <w:szCs w:val="24"/>
        </w:rPr>
        <w:t xml:space="preserve"> </w:t>
      </w:r>
      <w:r w:rsidR="00664769">
        <w:rPr>
          <w:rFonts w:ascii="Arial Narrow" w:eastAsia="Times New Roman" w:hAnsi="Arial Narrow" w:cs="Times New Roman"/>
          <w:sz w:val="24"/>
          <w:szCs w:val="24"/>
        </w:rPr>
        <w:t>are predominantly for</w:t>
      </w:r>
      <w:r w:rsidR="007E5CDC">
        <w:rPr>
          <w:rFonts w:ascii="Arial Narrow" w:eastAsia="Times New Roman" w:hAnsi="Arial Narrow" w:cs="Times New Roman"/>
          <w:sz w:val="24"/>
          <w:szCs w:val="24"/>
        </w:rPr>
        <w:t xml:space="preserve"> career continuation or advancement</w:t>
      </w:r>
      <w:r w:rsidR="009D6B27">
        <w:rPr>
          <w:rFonts w:ascii="Arial Narrow" w:eastAsia="Times New Roman" w:hAnsi="Arial Narrow" w:cs="Times New Roman"/>
          <w:sz w:val="24"/>
          <w:szCs w:val="24"/>
        </w:rPr>
        <w:t>, but at times</w:t>
      </w:r>
      <w:r w:rsidR="007E5CDC">
        <w:rPr>
          <w:rFonts w:ascii="Arial Narrow" w:eastAsia="Times New Roman" w:hAnsi="Arial Narrow" w:cs="Times New Roman"/>
          <w:sz w:val="24"/>
          <w:szCs w:val="24"/>
        </w:rPr>
        <w:t xml:space="preserve"> </w:t>
      </w:r>
      <w:r w:rsidR="009D6B27">
        <w:rPr>
          <w:rFonts w:ascii="Arial Narrow" w:eastAsia="Times New Roman" w:hAnsi="Arial Narrow" w:cs="Times New Roman"/>
          <w:sz w:val="24"/>
          <w:szCs w:val="24"/>
        </w:rPr>
        <w:t xml:space="preserve">taken for </w:t>
      </w:r>
      <w:r w:rsidRPr="00D20A5F">
        <w:rPr>
          <w:rFonts w:ascii="Arial Narrow" w:eastAsia="Times New Roman" w:hAnsi="Arial Narrow" w:cs="Times New Roman"/>
          <w:sz w:val="24"/>
          <w:szCs w:val="24"/>
        </w:rPr>
        <w:t xml:space="preserve">personal enrichment. The number of CEUs awarded is </w:t>
      </w:r>
      <w:r w:rsidR="00664769">
        <w:rPr>
          <w:rFonts w:ascii="Arial Narrow" w:eastAsia="Times New Roman" w:hAnsi="Arial Narrow" w:cs="Times New Roman"/>
          <w:sz w:val="24"/>
          <w:szCs w:val="24"/>
        </w:rPr>
        <w:t>determined by the</w:t>
      </w:r>
      <w:r w:rsidRPr="00D20A5F">
        <w:rPr>
          <w:rFonts w:ascii="Arial Narrow" w:eastAsia="Times New Roman" w:hAnsi="Arial Narrow" w:cs="Times New Roman"/>
          <w:sz w:val="24"/>
          <w:szCs w:val="24"/>
        </w:rPr>
        <w:t xml:space="preserve"> time required to master the material. CEUs do not count toward a degree; however, upon successful completion, participants may receive a certificate of completion from</w:t>
      </w:r>
      <w:r w:rsidR="007E5CDC">
        <w:rPr>
          <w:rFonts w:ascii="Arial Narrow" w:eastAsia="Times New Roman" w:hAnsi="Arial Narrow" w:cs="Times New Roman"/>
          <w:sz w:val="24"/>
          <w:szCs w:val="24"/>
        </w:rPr>
        <w:t xml:space="preserve"> the offering unit. </w:t>
      </w:r>
      <w:r w:rsidR="003A0478" w:rsidRPr="00D20A5F">
        <w:rPr>
          <w:rFonts w:ascii="Arial Narrow" w:eastAsia="Times New Roman" w:hAnsi="Arial Narrow" w:cs="Times New Roman"/>
          <w:sz w:val="24"/>
          <w:szCs w:val="24"/>
        </w:rPr>
        <w:t xml:space="preserve">Professional Development </w:t>
      </w:r>
      <w:r w:rsidRPr="00D20A5F">
        <w:rPr>
          <w:rFonts w:ascii="Arial Narrow" w:eastAsia="Times New Roman" w:hAnsi="Arial Narrow" w:cs="Times New Roman"/>
          <w:sz w:val="24"/>
          <w:szCs w:val="24"/>
        </w:rPr>
        <w:t>500-level courses do not count toward a degree and provide continuing education for professionals at a post baccalaureate level.  Workforce Credentials</w:t>
      </w:r>
      <w:r w:rsidR="003A0478" w:rsidRPr="00D20A5F">
        <w:rPr>
          <w:rFonts w:ascii="Arial Narrow" w:eastAsia="Times New Roman" w:hAnsi="Arial Narrow" w:cs="Times New Roman"/>
          <w:sz w:val="24"/>
          <w:szCs w:val="24"/>
        </w:rPr>
        <w:t xml:space="preserve"> include a series of</w:t>
      </w:r>
      <w:r w:rsidRPr="00D20A5F">
        <w:rPr>
          <w:rFonts w:ascii="Arial Narrow" w:eastAsia="Times New Roman" w:hAnsi="Arial Narrow" w:cs="Times New Roman"/>
          <w:sz w:val="24"/>
          <w:szCs w:val="24"/>
        </w:rPr>
        <w:t xml:space="preserve"> non-credit courses aligned with national standards, recognized certifications, or industry-specific employment standards. Workforce Credentials do not count toward a degree; however, upon successful completion, participants receive a credential.  Summer Camps and Bridging Programs</w:t>
      </w:r>
      <w:r w:rsidR="003A0478" w:rsidRPr="00D20A5F">
        <w:rPr>
          <w:rFonts w:ascii="Arial Narrow" w:eastAsia="Times New Roman" w:hAnsi="Arial Narrow" w:cs="Times New Roman"/>
          <w:sz w:val="24"/>
          <w:szCs w:val="24"/>
        </w:rPr>
        <w:t xml:space="preserve"> include</w:t>
      </w:r>
      <w:r w:rsidRPr="00D20A5F">
        <w:rPr>
          <w:rFonts w:ascii="Arial Narrow" w:eastAsia="Times New Roman" w:hAnsi="Arial Narrow" w:cs="Times New Roman"/>
          <w:sz w:val="24"/>
          <w:szCs w:val="24"/>
        </w:rPr>
        <w:t xml:space="preserve"> non-credit programs </w:t>
      </w:r>
      <w:r w:rsidR="003A0478" w:rsidRPr="00D20A5F">
        <w:rPr>
          <w:rFonts w:ascii="Arial Narrow" w:eastAsia="Times New Roman" w:hAnsi="Arial Narrow" w:cs="Times New Roman"/>
          <w:sz w:val="24"/>
          <w:szCs w:val="24"/>
        </w:rPr>
        <w:t>for both</w:t>
      </w:r>
      <w:r w:rsidRPr="00D20A5F">
        <w:rPr>
          <w:rFonts w:ascii="Arial Narrow" w:eastAsia="Times New Roman" w:hAnsi="Arial Narrow" w:cs="Times New Roman"/>
          <w:sz w:val="24"/>
          <w:szCs w:val="24"/>
        </w:rPr>
        <w:t xml:space="preserve"> youth and adults in specialized topics, from science and math to career exploration and more.</w:t>
      </w:r>
    </w:p>
    <w:p w:rsidR="003A0478" w:rsidRPr="00D20A5F" w:rsidRDefault="003A0478" w:rsidP="007A408C">
      <w:pPr>
        <w:rPr>
          <w:rFonts w:ascii="Arial Narrow" w:eastAsia="Times New Roman" w:hAnsi="Arial Narrow" w:cs="Times New Roman"/>
          <w:sz w:val="24"/>
          <w:szCs w:val="24"/>
        </w:rPr>
      </w:pPr>
      <w:r w:rsidRPr="00D20A5F">
        <w:rPr>
          <w:rFonts w:ascii="Arial Narrow" w:eastAsia="Times New Roman" w:hAnsi="Arial Narrow" w:cs="Times New Roman"/>
          <w:sz w:val="24"/>
          <w:szCs w:val="24"/>
        </w:rPr>
        <w:t xml:space="preserve">Demand for programs offered varies by each individual unit. </w:t>
      </w:r>
      <w:r w:rsidR="00664769">
        <w:rPr>
          <w:rFonts w:ascii="Arial Narrow" w:eastAsia="Times New Roman" w:hAnsi="Arial Narrow" w:cs="Times New Roman"/>
          <w:sz w:val="24"/>
          <w:szCs w:val="24"/>
        </w:rPr>
        <w:t>R</w:t>
      </w:r>
      <w:r w:rsidRPr="00D20A5F">
        <w:rPr>
          <w:rFonts w:ascii="Arial Narrow" w:eastAsia="Times New Roman" w:hAnsi="Arial Narrow" w:cs="Times New Roman"/>
          <w:sz w:val="24"/>
          <w:szCs w:val="24"/>
        </w:rPr>
        <w:t>evenue generation</w:t>
      </w:r>
      <w:bookmarkStart w:id="0" w:name="_GoBack"/>
      <w:bookmarkEnd w:id="0"/>
      <w:r w:rsidRPr="00D20A5F">
        <w:rPr>
          <w:rFonts w:ascii="Arial Narrow" w:eastAsia="Times New Roman" w:hAnsi="Arial Narrow" w:cs="Times New Roman"/>
          <w:sz w:val="24"/>
          <w:szCs w:val="24"/>
        </w:rPr>
        <w:t xml:space="preserve"> is the overarching goal</w:t>
      </w:r>
      <w:r w:rsidR="00664769">
        <w:rPr>
          <w:rFonts w:ascii="Arial Narrow" w:eastAsia="Times New Roman" w:hAnsi="Arial Narrow" w:cs="Times New Roman"/>
          <w:sz w:val="24"/>
          <w:szCs w:val="24"/>
        </w:rPr>
        <w:t xml:space="preserve"> in some instances, and </w:t>
      </w:r>
      <w:r w:rsidRPr="00D20A5F">
        <w:rPr>
          <w:rFonts w:ascii="Arial Narrow" w:eastAsia="Times New Roman" w:hAnsi="Arial Narrow" w:cs="Times New Roman"/>
          <w:sz w:val="24"/>
          <w:szCs w:val="24"/>
        </w:rPr>
        <w:t xml:space="preserve">classes are cancelled if a minimal student enrollment is not achieved. In other cases, units will provide classes regardless of enrollment as a “lost leader” to attract students and raise awareness to a program or </w:t>
      </w:r>
      <w:r w:rsidR="00857257" w:rsidRPr="00D20A5F">
        <w:rPr>
          <w:rFonts w:ascii="Arial Narrow" w:eastAsia="Times New Roman" w:hAnsi="Arial Narrow" w:cs="Times New Roman"/>
          <w:sz w:val="24"/>
          <w:szCs w:val="24"/>
        </w:rPr>
        <w:t xml:space="preserve">to </w:t>
      </w:r>
      <w:r w:rsidRPr="00D20A5F">
        <w:rPr>
          <w:rFonts w:ascii="Arial Narrow" w:eastAsia="Times New Roman" w:hAnsi="Arial Narrow" w:cs="Times New Roman"/>
          <w:sz w:val="24"/>
          <w:szCs w:val="24"/>
        </w:rPr>
        <w:t>provide a community service.</w:t>
      </w:r>
      <w:r w:rsidR="007E5CDC">
        <w:rPr>
          <w:rFonts w:ascii="Arial Narrow" w:eastAsia="Times New Roman" w:hAnsi="Arial Narrow" w:cs="Times New Roman"/>
          <w:sz w:val="24"/>
          <w:szCs w:val="24"/>
        </w:rPr>
        <w:t xml:space="preserve"> There is also great opportunity to offer CEUs through public/private partnerships whereby we develop programming that meets the CEU requirements for say maintenance of a CPA, but the majority of these opportunities go untapped.</w:t>
      </w:r>
    </w:p>
    <w:p w:rsidR="004063F5" w:rsidRPr="00D20A5F" w:rsidRDefault="00E2409B" w:rsidP="00000141">
      <w:pPr>
        <w:autoSpaceDE w:val="0"/>
        <w:autoSpaceDN w:val="0"/>
        <w:adjustRightInd w:val="0"/>
        <w:spacing w:after="0" w:line="240" w:lineRule="auto"/>
        <w:rPr>
          <w:rFonts w:ascii="Arial Narrow" w:hAnsi="Arial Narrow" w:cs="Times New Roman"/>
          <w:sz w:val="24"/>
          <w:szCs w:val="24"/>
        </w:rPr>
      </w:pPr>
      <w:r w:rsidRPr="00D20A5F">
        <w:rPr>
          <w:rFonts w:ascii="Arial Narrow" w:hAnsi="Arial Narrow" w:cs="Times New Roman"/>
          <w:b/>
          <w:sz w:val="24"/>
          <w:szCs w:val="24"/>
        </w:rPr>
        <w:t xml:space="preserve">Peer Institution </w:t>
      </w:r>
      <w:r w:rsidR="006F7F47" w:rsidRPr="00D20A5F">
        <w:rPr>
          <w:rFonts w:ascii="Arial Narrow" w:hAnsi="Arial Narrow" w:cs="Times New Roman"/>
          <w:b/>
          <w:sz w:val="24"/>
          <w:szCs w:val="24"/>
        </w:rPr>
        <w:t>Review</w:t>
      </w:r>
      <w:r w:rsidRPr="00D20A5F">
        <w:rPr>
          <w:rFonts w:ascii="Arial Narrow" w:hAnsi="Arial Narrow" w:cs="Times New Roman"/>
          <w:b/>
          <w:sz w:val="24"/>
          <w:szCs w:val="24"/>
        </w:rPr>
        <w:t xml:space="preserve">: </w:t>
      </w:r>
      <w:r w:rsidRPr="00D20A5F">
        <w:rPr>
          <w:rFonts w:ascii="Arial Narrow" w:hAnsi="Arial Narrow" w:cs="Times New Roman"/>
          <w:sz w:val="24"/>
          <w:szCs w:val="24"/>
        </w:rPr>
        <w:t xml:space="preserve">A review of continuing education and professional development offerings as well as best practices of peer institutions was undertaken. Specifically, a review of </w:t>
      </w:r>
      <w:r w:rsidR="00000141" w:rsidRPr="00D20A5F">
        <w:rPr>
          <w:rFonts w:ascii="Arial Narrow" w:hAnsi="Arial Narrow" w:cs="Times New Roman"/>
          <w:sz w:val="24"/>
          <w:szCs w:val="24"/>
        </w:rPr>
        <w:t>CPE programming at Boise State University, Ferris State University, Weber State University, Florida Gulf Coast University, Indiana University, and Northern Kentucky University</w:t>
      </w:r>
      <w:r w:rsidR="00000141" w:rsidRPr="00D20A5F">
        <w:rPr>
          <w:rFonts w:ascii="Arial Narrow" w:hAnsi="Arial Narrow" w:cs="Times New Roman"/>
          <w:b/>
          <w:sz w:val="24"/>
          <w:szCs w:val="24"/>
        </w:rPr>
        <w:t xml:space="preserve"> </w:t>
      </w:r>
      <w:r w:rsidRPr="00D20A5F">
        <w:rPr>
          <w:rFonts w:ascii="Arial Narrow" w:hAnsi="Arial Narrow" w:cs="Times New Roman"/>
          <w:sz w:val="24"/>
          <w:szCs w:val="24"/>
        </w:rPr>
        <w:t>occurred</w:t>
      </w:r>
      <w:r w:rsidR="00AE6A9D" w:rsidRPr="00D20A5F">
        <w:rPr>
          <w:rFonts w:ascii="Arial Narrow" w:hAnsi="Arial Narrow" w:cs="Times New Roman"/>
          <w:sz w:val="24"/>
          <w:szCs w:val="24"/>
        </w:rPr>
        <w:t xml:space="preserve"> through </w:t>
      </w:r>
      <w:r w:rsidRPr="00D20A5F">
        <w:rPr>
          <w:rFonts w:ascii="Arial Narrow" w:hAnsi="Arial Narrow" w:cs="Times New Roman"/>
          <w:sz w:val="24"/>
          <w:szCs w:val="24"/>
        </w:rPr>
        <w:t xml:space="preserve">both </w:t>
      </w:r>
      <w:r w:rsidR="00AE6A9D" w:rsidRPr="00D20A5F">
        <w:rPr>
          <w:rFonts w:ascii="Arial Narrow" w:hAnsi="Arial Narrow" w:cs="Times New Roman"/>
          <w:sz w:val="24"/>
          <w:szCs w:val="24"/>
        </w:rPr>
        <w:t>surveys and direct conversations with representatives</w:t>
      </w:r>
      <w:r w:rsidR="00000141" w:rsidRPr="00D20A5F">
        <w:rPr>
          <w:rFonts w:ascii="Arial Narrow" w:hAnsi="Arial Narrow" w:cs="Times New Roman"/>
          <w:sz w:val="24"/>
          <w:szCs w:val="24"/>
        </w:rPr>
        <w:t xml:space="preserve">. Almost all of UAA’s peer institutions maintain a </w:t>
      </w:r>
      <w:r w:rsidRPr="00D20A5F">
        <w:rPr>
          <w:rFonts w:ascii="Arial Narrow" w:hAnsi="Arial Narrow" w:cs="Times New Roman"/>
          <w:sz w:val="24"/>
          <w:szCs w:val="24"/>
        </w:rPr>
        <w:t>centralized center or primary</w:t>
      </w:r>
      <w:r w:rsidR="00000141" w:rsidRPr="00D20A5F">
        <w:rPr>
          <w:rFonts w:ascii="Arial Narrow" w:hAnsi="Arial Narrow" w:cs="Times New Roman"/>
          <w:sz w:val="24"/>
          <w:szCs w:val="24"/>
        </w:rPr>
        <w:t xml:space="preserve"> point of contact</w:t>
      </w:r>
      <w:r w:rsidRPr="00D20A5F">
        <w:rPr>
          <w:rFonts w:ascii="Arial Narrow" w:hAnsi="Arial Narrow" w:cs="Times New Roman"/>
          <w:sz w:val="24"/>
          <w:szCs w:val="24"/>
        </w:rPr>
        <w:t xml:space="preserve"> for all CPE activities. </w:t>
      </w:r>
      <w:r w:rsidR="004A5C62" w:rsidRPr="00D20A5F">
        <w:rPr>
          <w:rFonts w:ascii="Arial Narrow" w:hAnsi="Arial Narrow" w:cs="Times New Roman"/>
          <w:sz w:val="24"/>
          <w:szCs w:val="24"/>
        </w:rPr>
        <w:t>CPE p</w:t>
      </w:r>
      <w:r w:rsidR="00E04A6B" w:rsidRPr="00D20A5F">
        <w:rPr>
          <w:rFonts w:ascii="Arial Narrow" w:hAnsi="Arial Narrow" w:cs="Times New Roman"/>
          <w:sz w:val="24"/>
          <w:szCs w:val="24"/>
        </w:rPr>
        <w:t xml:space="preserve">rogramming </w:t>
      </w:r>
      <w:r w:rsidR="004A5C62" w:rsidRPr="00D20A5F">
        <w:rPr>
          <w:rFonts w:ascii="Arial Narrow" w:hAnsi="Arial Narrow" w:cs="Times New Roman"/>
          <w:sz w:val="24"/>
          <w:szCs w:val="24"/>
        </w:rPr>
        <w:t>i</w:t>
      </w:r>
      <w:r w:rsidR="002A3E97" w:rsidRPr="00D20A5F">
        <w:rPr>
          <w:rFonts w:ascii="Arial Narrow" w:hAnsi="Arial Narrow" w:cs="Times New Roman"/>
          <w:sz w:val="24"/>
          <w:szCs w:val="24"/>
        </w:rPr>
        <w:t>s i</w:t>
      </w:r>
      <w:r w:rsidR="004A5C62" w:rsidRPr="00D20A5F">
        <w:rPr>
          <w:rFonts w:ascii="Arial Narrow" w:hAnsi="Arial Narrow" w:cs="Times New Roman"/>
          <w:sz w:val="24"/>
          <w:szCs w:val="24"/>
        </w:rPr>
        <w:t>n many cases</w:t>
      </w:r>
      <w:r w:rsidR="002A3E97" w:rsidRPr="00D20A5F">
        <w:rPr>
          <w:rFonts w:ascii="Arial Narrow" w:hAnsi="Arial Narrow" w:cs="Times New Roman"/>
          <w:sz w:val="24"/>
          <w:szCs w:val="24"/>
        </w:rPr>
        <w:t xml:space="preserve"> </w:t>
      </w:r>
      <w:r w:rsidR="00E04A6B" w:rsidRPr="00D20A5F">
        <w:rPr>
          <w:rFonts w:ascii="Arial Narrow" w:hAnsi="Arial Narrow" w:cs="Times New Roman"/>
          <w:sz w:val="24"/>
          <w:szCs w:val="24"/>
        </w:rPr>
        <w:t xml:space="preserve">closely </w:t>
      </w:r>
      <w:r w:rsidRPr="00D20A5F">
        <w:rPr>
          <w:rFonts w:ascii="Arial Narrow" w:hAnsi="Arial Narrow" w:cs="Times New Roman"/>
          <w:sz w:val="24"/>
          <w:szCs w:val="24"/>
        </w:rPr>
        <w:t xml:space="preserve">tied </w:t>
      </w:r>
      <w:r w:rsidR="004A5C62" w:rsidRPr="00D20A5F">
        <w:rPr>
          <w:rFonts w:ascii="Arial Narrow" w:hAnsi="Arial Narrow" w:cs="Times New Roman"/>
          <w:sz w:val="24"/>
          <w:szCs w:val="24"/>
        </w:rPr>
        <w:t>in a collegial way to</w:t>
      </w:r>
      <w:r w:rsidRPr="00D20A5F">
        <w:rPr>
          <w:rFonts w:ascii="Arial Narrow" w:hAnsi="Arial Narrow" w:cs="Times New Roman"/>
          <w:sz w:val="24"/>
          <w:szCs w:val="24"/>
        </w:rPr>
        <w:t xml:space="preserve"> academic </w:t>
      </w:r>
      <w:r w:rsidR="004A5C62" w:rsidRPr="00D20A5F">
        <w:rPr>
          <w:rFonts w:ascii="Arial Narrow" w:hAnsi="Arial Narrow" w:cs="Times New Roman"/>
          <w:sz w:val="24"/>
          <w:szCs w:val="24"/>
        </w:rPr>
        <w:t>units</w:t>
      </w:r>
      <w:r w:rsidR="00E04A6B" w:rsidRPr="00D20A5F">
        <w:rPr>
          <w:rFonts w:ascii="Arial Narrow" w:hAnsi="Arial Narrow" w:cs="Times New Roman"/>
          <w:sz w:val="24"/>
          <w:szCs w:val="24"/>
        </w:rPr>
        <w:t xml:space="preserve">, </w:t>
      </w:r>
      <w:r w:rsidR="004A5C62" w:rsidRPr="00D20A5F">
        <w:rPr>
          <w:rFonts w:ascii="Arial Narrow" w:hAnsi="Arial Narrow" w:cs="Times New Roman"/>
          <w:sz w:val="24"/>
          <w:szCs w:val="24"/>
        </w:rPr>
        <w:t>while the day-to-</w:t>
      </w:r>
      <w:r w:rsidR="00E04A6B" w:rsidRPr="00D20A5F">
        <w:rPr>
          <w:rFonts w:ascii="Arial Narrow" w:hAnsi="Arial Narrow" w:cs="Times New Roman"/>
          <w:sz w:val="24"/>
          <w:szCs w:val="24"/>
        </w:rPr>
        <w:t xml:space="preserve">day management of non-credit courses </w:t>
      </w:r>
      <w:r w:rsidR="002A3E97" w:rsidRPr="00D20A5F">
        <w:rPr>
          <w:rFonts w:ascii="Arial Narrow" w:hAnsi="Arial Narrow" w:cs="Times New Roman"/>
          <w:sz w:val="24"/>
          <w:szCs w:val="24"/>
        </w:rPr>
        <w:t xml:space="preserve">are </w:t>
      </w:r>
      <w:r w:rsidR="00E04A6B" w:rsidRPr="00D20A5F">
        <w:rPr>
          <w:rFonts w:ascii="Arial Narrow" w:hAnsi="Arial Narrow" w:cs="Times New Roman"/>
          <w:sz w:val="24"/>
          <w:szCs w:val="24"/>
        </w:rPr>
        <w:t xml:space="preserve">a separate business function. These </w:t>
      </w:r>
      <w:r w:rsidR="004A5C62" w:rsidRPr="00D20A5F">
        <w:rPr>
          <w:rFonts w:ascii="Arial Narrow" w:hAnsi="Arial Narrow" w:cs="Times New Roman"/>
          <w:sz w:val="24"/>
          <w:szCs w:val="24"/>
        </w:rPr>
        <w:t>business units</w:t>
      </w:r>
      <w:r w:rsidR="002A3E97" w:rsidRPr="00D20A5F">
        <w:rPr>
          <w:rFonts w:ascii="Arial Narrow" w:hAnsi="Arial Narrow" w:cs="Times New Roman"/>
          <w:sz w:val="24"/>
          <w:szCs w:val="24"/>
        </w:rPr>
        <w:t xml:space="preserve"> serve</w:t>
      </w:r>
      <w:r w:rsidR="00E04A6B" w:rsidRPr="00D20A5F">
        <w:rPr>
          <w:rFonts w:ascii="Arial Narrow" w:hAnsi="Arial Narrow" w:cs="Times New Roman"/>
          <w:sz w:val="24"/>
          <w:szCs w:val="24"/>
        </w:rPr>
        <w:t xml:space="preserve"> </w:t>
      </w:r>
      <w:r w:rsidR="004A5C62" w:rsidRPr="00D20A5F">
        <w:rPr>
          <w:rFonts w:ascii="Arial Narrow" w:hAnsi="Arial Narrow" w:cs="Times New Roman"/>
          <w:sz w:val="24"/>
          <w:szCs w:val="24"/>
        </w:rPr>
        <w:t>the needs of business, industry and professionals through the provision of</w:t>
      </w:r>
      <w:r w:rsidR="00E04A6B" w:rsidRPr="00D20A5F">
        <w:rPr>
          <w:rFonts w:ascii="Arial Narrow" w:hAnsi="Arial Narrow" w:cs="Times New Roman"/>
          <w:sz w:val="24"/>
          <w:szCs w:val="24"/>
        </w:rPr>
        <w:t>: 1) customized and open access non-credit professional development</w:t>
      </w:r>
      <w:r w:rsidR="004A5C62" w:rsidRPr="00D20A5F">
        <w:rPr>
          <w:rFonts w:ascii="Arial Narrow" w:hAnsi="Arial Narrow" w:cs="Times New Roman"/>
          <w:sz w:val="24"/>
          <w:szCs w:val="24"/>
        </w:rPr>
        <w:t xml:space="preserve">; 2) </w:t>
      </w:r>
      <w:r w:rsidR="00E04A6B" w:rsidRPr="00D20A5F">
        <w:rPr>
          <w:rFonts w:ascii="Arial Narrow" w:hAnsi="Arial Narrow" w:cs="Times New Roman"/>
          <w:sz w:val="24"/>
          <w:szCs w:val="24"/>
        </w:rPr>
        <w:t>professional development</w:t>
      </w:r>
      <w:r w:rsidR="00041E90" w:rsidRPr="00D20A5F">
        <w:rPr>
          <w:rFonts w:ascii="Arial Narrow" w:hAnsi="Arial Narrow" w:cs="Times New Roman"/>
          <w:sz w:val="24"/>
          <w:szCs w:val="24"/>
        </w:rPr>
        <w:t xml:space="preserve"> for the ma</w:t>
      </w:r>
      <w:r w:rsidR="004A5C62" w:rsidRPr="00D20A5F">
        <w:rPr>
          <w:rFonts w:ascii="Arial Narrow" w:hAnsi="Arial Narrow" w:cs="Times New Roman"/>
          <w:sz w:val="24"/>
          <w:szCs w:val="24"/>
        </w:rPr>
        <w:t xml:space="preserve">intenance </w:t>
      </w:r>
      <w:r w:rsidR="00041E90" w:rsidRPr="00D20A5F">
        <w:rPr>
          <w:rFonts w:ascii="Arial Narrow" w:hAnsi="Arial Narrow" w:cs="Times New Roman"/>
          <w:sz w:val="24"/>
          <w:szCs w:val="24"/>
        </w:rPr>
        <w:t>of credentials as well as career advancement</w:t>
      </w:r>
      <w:r w:rsidR="004A5C62" w:rsidRPr="00D20A5F">
        <w:rPr>
          <w:rFonts w:ascii="Arial Narrow" w:hAnsi="Arial Narrow" w:cs="Times New Roman"/>
          <w:sz w:val="24"/>
          <w:szCs w:val="24"/>
        </w:rPr>
        <w:t>; and in some instances, 3) personal enrichment offerings</w:t>
      </w:r>
      <w:r w:rsidR="00E04A6B" w:rsidRPr="00D20A5F">
        <w:rPr>
          <w:rFonts w:ascii="Arial Narrow" w:hAnsi="Arial Narrow" w:cs="Times New Roman"/>
          <w:sz w:val="24"/>
          <w:szCs w:val="24"/>
        </w:rPr>
        <w:t xml:space="preserve">. </w:t>
      </w:r>
      <w:r w:rsidR="0096263F" w:rsidRPr="00D20A5F">
        <w:rPr>
          <w:rFonts w:ascii="Arial Narrow" w:hAnsi="Arial Narrow" w:cs="Times New Roman"/>
          <w:sz w:val="24"/>
          <w:szCs w:val="24"/>
        </w:rPr>
        <w:t xml:space="preserve">Many spoke to addressing the life-long learning needs of their community. </w:t>
      </w:r>
      <w:r w:rsidR="00E04A6B" w:rsidRPr="00D20A5F">
        <w:rPr>
          <w:rFonts w:ascii="Arial Narrow" w:hAnsi="Arial Narrow" w:cs="Times New Roman"/>
          <w:sz w:val="24"/>
          <w:szCs w:val="24"/>
        </w:rPr>
        <w:t xml:space="preserve">While the offering of </w:t>
      </w:r>
      <w:r w:rsidRPr="00D20A5F">
        <w:rPr>
          <w:rFonts w:ascii="Arial Narrow" w:hAnsi="Arial Narrow" w:cs="Times New Roman"/>
          <w:sz w:val="24"/>
          <w:szCs w:val="24"/>
        </w:rPr>
        <w:t xml:space="preserve">the </w:t>
      </w:r>
      <w:r w:rsidR="00000141" w:rsidRPr="00D20A5F">
        <w:rPr>
          <w:rFonts w:ascii="Arial Narrow" w:hAnsi="Arial Narrow" w:cs="Times New Roman"/>
          <w:sz w:val="24"/>
          <w:szCs w:val="24"/>
        </w:rPr>
        <w:t xml:space="preserve">non-credit professional development courses </w:t>
      </w:r>
      <w:r w:rsidR="004A5C62" w:rsidRPr="00D20A5F">
        <w:rPr>
          <w:rFonts w:ascii="Arial Narrow" w:hAnsi="Arial Narrow" w:cs="Times New Roman"/>
          <w:sz w:val="24"/>
          <w:szCs w:val="24"/>
        </w:rPr>
        <w:t xml:space="preserve">were </w:t>
      </w:r>
      <w:r w:rsidRPr="00D20A5F">
        <w:rPr>
          <w:rFonts w:ascii="Arial Narrow" w:hAnsi="Arial Narrow" w:cs="Times New Roman"/>
          <w:sz w:val="24"/>
          <w:szCs w:val="24"/>
        </w:rPr>
        <w:t>in most cases managed and delivered through a centralized unit</w:t>
      </w:r>
      <w:r w:rsidR="00E04A6B" w:rsidRPr="00D20A5F">
        <w:rPr>
          <w:rFonts w:ascii="Arial Narrow" w:hAnsi="Arial Narrow" w:cs="Times New Roman"/>
          <w:sz w:val="24"/>
          <w:szCs w:val="24"/>
        </w:rPr>
        <w:t xml:space="preserve">, </w:t>
      </w:r>
      <w:r w:rsidR="004A5C62" w:rsidRPr="00D20A5F">
        <w:rPr>
          <w:rFonts w:ascii="Arial Narrow" w:hAnsi="Arial Narrow" w:cs="Times New Roman"/>
          <w:sz w:val="24"/>
          <w:szCs w:val="24"/>
        </w:rPr>
        <w:t xml:space="preserve">this unit </w:t>
      </w:r>
      <w:r w:rsidR="00041E90" w:rsidRPr="00D20A5F">
        <w:rPr>
          <w:rFonts w:ascii="Arial Narrow" w:hAnsi="Arial Narrow" w:cs="Times New Roman"/>
          <w:sz w:val="24"/>
          <w:szCs w:val="24"/>
        </w:rPr>
        <w:t xml:space="preserve">seemed </w:t>
      </w:r>
      <w:r w:rsidR="004A5C62" w:rsidRPr="00D20A5F">
        <w:rPr>
          <w:rFonts w:ascii="Arial Narrow" w:hAnsi="Arial Narrow" w:cs="Times New Roman"/>
          <w:sz w:val="24"/>
          <w:szCs w:val="24"/>
        </w:rPr>
        <w:t>well integrated with the campus</w:t>
      </w:r>
      <w:r w:rsidR="00000141" w:rsidRPr="00D20A5F">
        <w:rPr>
          <w:rFonts w:ascii="Arial Narrow" w:hAnsi="Arial Narrow" w:cs="Times New Roman"/>
          <w:sz w:val="24"/>
          <w:szCs w:val="24"/>
        </w:rPr>
        <w:t xml:space="preserve">. </w:t>
      </w:r>
      <w:r w:rsidR="004A5C62" w:rsidRPr="00D20A5F">
        <w:rPr>
          <w:rFonts w:ascii="Arial Narrow" w:hAnsi="Arial Narrow" w:cs="Times New Roman"/>
          <w:sz w:val="24"/>
          <w:szCs w:val="24"/>
        </w:rPr>
        <w:t>Each program reviewed appeared to invest some time and resource into determining the best mix of classes to offer, while some offered legislatively</w:t>
      </w:r>
      <w:r w:rsidR="00041E90" w:rsidRPr="00D20A5F">
        <w:rPr>
          <w:rFonts w:ascii="Arial Narrow" w:hAnsi="Arial Narrow" w:cs="Times New Roman"/>
          <w:sz w:val="24"/>
          <w:szCs w:val="24"/>
        </w:rPr>
        <w:t xml:space="preserve"> required courses. Course delivery was both on campus, in many cases through </w:t>
      </w:r>
      <w:r w:rsidR="002A3E97" w:rsidRPr="00D20A5F">
        <w:rPr>
          <w:rFonts w:ascii="Arial Narrow" w:hAnsi="Arial Narrow" w:cs="Times New Roman"/>
          <w:sz w:val="24"/>
          <w:szCs w:val="24"/>
        </w:rPr>
        <w:t>space dedicated to the</w:t>
      </w:r>
      <w:r w:rsidR="00041E90" w:rsidRPr="00D20A5F">
        <w:rPr>
          <w:rFonts w:ascii="Arial Narrow" w:hAnsi="Arial Narrow" w:cs="Times New Roman"/>
          <w:sz w:val="24"/>
          <w:szCs w:val="24"/>
        </w:rPr>
        <w:t xml:space="preserve"> business unit</w:t>
      </w:r>
      <w:r w:rsidR="002A3E97" w:rsidRPr="00D20A5F">
        <w:rPr>
          <w:rFonts w:ascii="Arial Narrow" w:hAnsi="Arial Narrow" w:cs="Times New Roman"/>
          <w:sz w:val="24"/>
          <w:szCs w:val="24"/>
        </w:rPr>
        <w:t xml:space="preserve"> (no renting of space), as well as</w:t>
      </w:r>
      <w:r w:rsidR="00041E90" w:rsidRPr="00D20A5F">
        <w:rPr>
          <w:rFonts w:ascii="Arial Narrow" w:hAnsi="Arial Narrow" w:cs="Times New Roman"/>
          <w:sz w:val="24"/>
          <w:szCs w:val="24"/>
        </w:rPr>
        <w:t xml:space="preserve"> through space arranged off-site</w:t>
      </w:r>
      <w:r w:rsidR="002A3E97" w:rsidRPr="00D20A5F">
        <w:rPr>
          <w:rFonts w:ascii="Arial Narrow" w:hAnsi="Arial Narrow" w:cs="Times New Roman"/>
          <w:sz w:val="24"/>
          <w:szCs w:val="24"/>
        </w:rPr>
        <w:t>, with the objective of better integrating</w:t>
      </w:r>
      <w:r w:rsidR="00041E90" w:rsidRPr="00D20A5F">
        <w:rPr>
          <w:rFonts w:ascii="Arial Narrow" w:hAnsi="Arial Narrow" w:cs="Times New Roman"/>
          <w:sz w:val="24"/>
          <w:szCs w:val="24"/>
        </w:rPr>
        <w:t xml:space="preserve"> the campus with the community. </w:t>
      </w:r>
      <w:r w:rsidR="004A5C62" w:rsidRPr="00D20A5F">
        <w:rPr>
          <w:rFonts w:ascii="Arial Narrow" w:hAnsi="Arial Narrow" w:cs="Times New Roman"/>
          <w:sz w:val="24"/>
          <w:szCs w:val="24"/>
        </w:rPr>
        <w:t xml:space="preserve">Many spoke to the importance of developing </w:t>
      </w:r>
      <w:r w:rsidR="00000141" w:rsidRPr="00D20A5F">
        <w:rPr>
          <w:rFonts w:ascii="Arial Narrow" w:hAnsi="Arial Narrow" w:cs="Times New Roman"/>
          <w:sz w:val="24"/>
          <w:szCs w:val="24"/>
        </w:rPr>
        <w:t xml:space="preserve">corporate partnerships </w:t>
      </w:r>
      <w:r w:rsidR="00041E90" w:rsidRPr="00D20A5F">
        <w:rPr>
          <w:rFonts w:ascii="Arial Narrow" w:hAnsi="Arial Narrow" w:cs="Times New Roman"/>
          <w:sz w:val="24"/>
          <w:szCs w:val="24"/>
        </w:rPr>
        <w:t xml:space="preserve">as well as partnerships with the </w:t>
      </w:r>
      <w:r w:rsidR="00000141" w:rsidRPr="00D20A5F">
        <w:rPr>
          <w:rFonts w:ascii="Arial Narrow" w:hAnsi="Arial Narrow" w:cs="Times New Roman"/>
          <w:sz w:val="24"/>
          <w:szCs w:val="24"/>
        </w:rPr>
        <w:t xml:space="preserve">academic </w:t>
      </w:r>
      <w:r w:rsidR="00041E90" w:rsidRPr="00D20A5F">
        <w:rPr>
          <w:rFonts w:ascii="Arial Narrow" w:hAnsi="Arial Narrow" w:cs="Times New Roman"/>
          <w:sz w:val="24"/>
          <w:szCs w:val="24"/>
        </w:rPr>
        <w:t>program</w:t>
      </w:r>
      <w:r w:rsidR="002A3E97" w:rsidRPr="00D20A5F">
        <w:rPr>
          <w:rFonts w:ascii="Arial Narrow" w:hAnsi="Arial Narrow" w:cs="Times New Roman"/>
          <w:sz w:val="24"/>
          <w:szCs w:val="24"/>
        </w:rPr>
        <w:t>s of the campus</w:t>
      </w:r>
      <w:r w:rsidR="00000141" w:rsidRPr="00D20A5F">
        <w:rPr>
          <w:rFonts w:ascii="Arial Narrow" w:hAnsi="Arial Narrow" w:cs="Times New Roman"/>
          <w:sz w:val="24"/>
          <w:szCs w:val="24"/>
        </w:rPr>
        <w:t xml:space="preserve">. </w:t>
      </w:r>
      <w:r w:rsidRPr="00D20A5F">
        <w:rPr>
          <w:rFonts w:ascii="Arial Narrow" w:hAnsi="Arial Narrow" w:cs="Times New Roman"/>
          <w:sz w:val="24"/>
          <w:szCs w:val="24"/>
        </w:rPr>
        <w:t xml:space="preserve">The </w:t>
      </w:r>
      <w:r w:rsidR="00041E90" w:rsidRPr="00D20A5F">
        <w:rPr>
          <w:rFonts w:ascii="Arial Narrow" w:hAnsi="Arial Narrow" w:cs="Times New Roman"/>
          <w:sz w:val="24"/>
          <w:szCs w:val="24"/>
        </w:rPr>
        <w:t xml:space="preserve">web platforms of these peer institutes </w:t>
      </w:r>
      <w:r w:rsidR="00000141" w:rsidRPr="00D20A5F">
        <w:rPr>
          <w:rFonts w:ascii="Arial Narrow" w:hAnsi="Arial Narrow" w:cs="Times New Roman"/>
          <w:sz w:val="24"/>
          <w:szCs w:val="24"/>
        </w:rPr>
        <w:t xml:space="preserve">appeared to be a crucial ingredient </w:t>
      </w:r>
      <w:r w:rsidR="00000141" w:rsidRPr="00D20A5F">
        <w:rPr>
          <w:rFonts w:ascii="Arial Narrow" w:hAnsi="Arial Narrow" w:cs="Times New Roman"/>
          <w:sz w:val="24"/>
          <w:szCs w:val="24"/>
        </w:rPr>
        <w:lastRenderedPageBreak/>
        <w:t xml:space="preserve">for </w:t>
      </w:r>
      <w:r w:rsidR="00041E90" w:rsidRPr="00D20A5F">
        <w:rPr>
          <w:rFonts w:ascii="Arial Narrow" w:hAnsi="Arial Narrow" w:cs="Times New Roman"/>
          <w:sz w:val="24"/>
          <w:szCs w:val="24"/>
        </w:rPr>
        <w:t xml:space="preserve">selling courses to </w:t>
      </w:r>
      <w:r w:rsidR="00000141" w:rsidRPr="00D20A5F">
        <w:rPr>
          <w:rFonts w:ascii="Arial Narrow" w:hAnsi="Arial Narrow" w:cs="Times New Roman"/>
          <w:sz w:val="24"/>
          <w:szCs w:val="24"/>
        </w:rPr>
        <w:t>prospective clients</w:t>
      </w:r>
      <w:r w:rsidR="002A3E97" w:rsidRPr="00D20A5F">
        <w:rPr>
          <w:rFonts w:ascii="Arial Narrow" w:hAnsi="Arial Narrow" w:cs="Times New Roman"/>
          <w:sz w:val="24"/>
          <w:szCs w:val="24"/>
        </w:rPr>
        <w:t>, the more successful having a clear brand</w:t>
      </w:r>
      <w:r w:rsidR="00000141" w:rsidRPr="00D20A5F">
        <w:rPr>
          <w:rFonts w:ascii="Arial Narrow" w:hAnsi="Arial Narrow" w:cs="Times New Roman"/>
          <w:sz w:val="24"/>
          <w:szCs w:val="24"/>
        </w:rPr>
        <w:t xml:space="preserve">. </w:t>
      </w:r>
      <w:r w:rsidR="00041E90" w:rsidRPr="00D20A5F">
        <w:rPr>
          <w:rFonts w:ascii="Arial Narrow" w:hAnsi="Arial Narrow" w:cs="Times New Roman"/>
          <w:sz w:val="24"/>
          <w:szCs w:val="24"/>
        </w:rPr>
        <w:t xml:space="preserve">Peers spoke to the importance of having the ability to standup and take down courses with </w:t>
      </w:r>
      <w:r w:rsidR="002A3E97" w:rsidRPr="00D20A5F">
        <w:rPr>
          <w:rFonts w:ascii="Arial Narrow" w:hAnsi="Arial Narrow" w:cs="Times New Roman"/>
          <w:sz w:val="24"/>
          <w:szCs w:val="24"/>
        </w:rPr>
        <w:t>flexibility and ease</w:t>
      </w:r>
      <w:r w:rsidR="00000141" w:rsidRPr="00D20A5F">
        <w:rPr>
          <w:rFonts w:ascii="Arial Narrow" w:hAnsi="Arial Narrow" w:cs="Times New Roman"/>
          <w:sz w:val="24"/>
          <w:szCs w:val="24"/>
        </w:rPr>
        <w:t xml:space="preserve">. </w:t>
      </w:r>
    </w:p>
    <w:p w:rsidR="004F336F" w:rsidRPr="00D20A5F" w:rsidRDefault="004F336F" w:rsidP="00000141">
      <w:pPr>
        <w:autoSpaceDE w:val="0"/>
        <w:autoSpaceDN w:val="0"/>
        <w:adjustRightInd w:val="0"/>
        <w:spacing w:after="0" w:line="240" w:lineRule="auto"/>
        <w:rPr>
          <w:rFonts w:ascii="Arial Narrow" w:hAnsi="Arial Narrow" w:cs="Times New Roman"/>
          <w:sz w:val="24"/>
          <w:szCs w:val="24"/>
        </w:rPr>
      </w:pPr>
    </w:p>
    <w:p w:rsidR="004F336F" w:rsidRPr="00D20A5F" w:rsidRDefault="00B250BE" w:rsidP="00000141">
      <w:pPr>
        <w:autoSpaceDE w:val="0"/>
        <w:autoSpaceDN w:val="0"/>
        <w:adjustRightInd w:val="0"/>
        <w:spacing w:after="0" w:line="240" w:lineRule="auto"/>
        <w:rPr>
          <w:rFonts w:ascii="Arial Narrow" w:hAnsi="Arial Narrow" w:cs="Times New Roman"/>
          <w:sz w:val="24"/>
          <w:szCs w:val="24"/>
        </w:rPr>
      </w:pPr>
      <w:r w:rsidRPr="00D20A5F">
        <w:rPr>
          <w:rFonts w:ascii="Arial Narrow" w:hAnsi="Arial Narrow" w:cs="Times New Roman"/>
          <w:b/>
          <w:sz w:val="24"/>
          <w:szCs w:val="24"/>
        </w:rPr>
        <w:t>Guiding Principles</w:t>
      </w:r>
      <w:r w:rsidR="004F336F" w:rsidRPr="00D20A5F">
        <w:rPr>
          <w:rFonts w:ascii="Arial Narrow" w:hAnsi="Arial Narrow" w:cs="Times New Roman"/>
          <w:b/>
          <w:sz w:val="24"/>
          <w:szCs w:val="24"/>
        </w:rPr>
        <w:t xml:space="preserve">:  </w:t>
      </w:r>
      <w:r w:rsidR="004F336F" w:rsidRPr="00D20A5F">
        <w:rPr>
          <w:rFonts w:ascii="Arial Narrow" w:hAnsi="Arial Narrow" w:cs="Times New Roman"/>
          <w:sz w:val="24"/>
          <w:szCs w:val="24"/>
        </w:rPr>
        <w:t xml:space="preserve">Currently, there is no central or shared vision for CPE at UAA.  Each college and community campus determines whether they will develop and deliver CPE offerings </w:t>
      </w:r>
      <w:r w:rsidRPr="00D20A5F">
        <w:rPr>
          <w:rFonts w:ascii="Arial Narrow" w:hAnsi="Arial Narrow" w:cs="Times New Roman"/>
          <w:sz w:val="24"/>
          <w:szCs w:val="24"/>
        </w:rPr>
        <w:t>either due to</w:t>
      </w:r>
      <w:r w:rsidR="004F336F" w:rsidRPr="00D20A5F">
        <w:rPr>
          <w:rFonts w:ascii="Arial Narrow" w:hAnsi="Arial Narrow" w:cs="Times New Roman"/>
          <w:sz w:val="24"/>
          <w:szCs w:val="24"/>
        </w:rPr>
        <w:t xml:space="preserve"> faculty</w:t>
      </w:r>
      <w:r w:rsidRPr="00D20A5F">
        <w:rPr>
          <w:rFonts w:ascii="Arial Narrow" w:hAnsi="Arial Narrow" w:cs="Times New Roman"/>
          <w:sz w:val="24"/>
          <w:szCs w:val="24"/>
        </w:rPr>
        <w:t xml:space="preserve"> interest or </w:t>
      </w:r>
      <w:r w:rsidR="004F336F" w:rsidRPr="00D20A5F">
        <w:rPr>
          <w:rFonts w:ascii="Arial Narrow" w:hAnsi="Arial Narrow" w:cs="Times New Roman"/>
          <w:sz w:val="24"/>
          <w:szCs w:val="24"/>
        </w:rPr>
        <w:t xml:space="preserve">community demand. UAA predominantly delivers CPE offerings in health, safety, technical skills, maritime, </w:t>
      </w:r>
      <w:r w:rsidRPr="00D20A5F">
        <w:rPr>
          <w:rFonts w:ascii="Arial Narrow" w:hAnsi="Arial Narrow" w:cs="Times New Roman"/>
          <w:sz w:val="24"/>
          <w:szCs w:val="24"/>
        </w:rPr>
        <w:t xml:space="preserve">business management &amp; </w:t>
      </w:r>
      <w:r w:rsidR="004F336F" w:rsidRPr="00D20A5F">
        <w:rPr>
          <w:rFonts w:ascii="Arial Narrow" w:hAnsi="Arial Narrow" w:cs="Times New Roman"/>
          <w:sz w:val="24"/>
          <w:szCs w:val="24"/>
        </w:rPr>
        <w:t xml:space="preserve">leadership, </w:t>
      </w:r>
      <w:r w:rsidR="007E5CDC">
        <w:rPr>
          <w:rFonts w:ascii="Arial Narrow" w:hAnsi="Arial Narrow" w:cs="Times New Roman"/>
          <w:sz w:val="24"/>
          <w:szCs w:val="24"/>
        </w:rPr>
        <w:t xml:space="preserve">executive education, </w:t>
      </w:r>
      <w:r w:rsidR="004F336F" w:rsidRPr="00D20A5F">
        <w:rPr>
          <w:rFonts w:ascii="Arial Narrow" w:hAnsi="Arial Narrow" w:cs="Times New Roman"/>
          <w:sz w:val="24"/>
          <w:szCs w:val="24"/>
        </w:rPr>
        <w:t xml:space="preserve">engineering, IT, </w:t>
      </w:r>
      <w:r w:rsidR="007E5CDC">
        <w:rPr>
          <w:rFonts w:ascii="Arial Narrow" w:hAnsi="Arial Narrow" w:cs="Times New Roman"/>
          <w:sz w:val="24"/>
          <w:szCs w:val="24"/>
        </w:rPr>
        <w:t xml:space="preserve">teacher education, </w:t>
      </w:r>
      <w:r w:rsidR="004F336F" w:rsidRPr="00D20A5F">
        <w:rPr>
          <w:rFonts w:ascii="Arial Narrow" w:hAnsi="Arial Narrow" w:cs="Times New Roman"/>
          <w:sz w:val="24"/>
          <w:szCs w:val="24"/>
        </w:rPr>
        <w:t>personal enrichment, and youth camps (culinary, healthcare exploration, automotive, etc.).</w:t>
      </w:r>
      <w:r w:rsidRPr="00D20A5F">
        <w:rPr>
          <w:rFonts w:ascii="Arial Narrow" w:hAnsi="Arial Narrow" w:cs="Times New Roman"/>
          <w:sz w:val="24"/>
          <w:szCs w:val="24"/>
        </w:rPr>
        <w:t xml:space="preserve"> While revenue generation is the driver in </w:t>
      </w:r>
      <w:r w:rsidR="00664769">
        <w:rPr>
          <w:rFonts w:ascii="Arial Narrow" w:hAnsi="Arial Narrow" w:cs="Times New Roman"/>
          <w:sz w:val="24"/>
          <w:szCs w:val="24"/>
        </w:rPr>
        <w:t>some</w:t>
      </w:r>
      <w:r w:rsidRPr="00D20A5F">
        <w:rPr>
          <w:rFonts w:ascii="Arial Narrow" w:hAnsi="Arial Narrow" w:cs="Times New Roman"/>
          <w:sz w:val="24"/>
          <w:szCs w:val="24"/>
        </w:rPr>
        <w:t xml:space="preserve"> instances, in </w:t>
      </w:r>
      <w:r w:rsidR="0096263F" w:rsidRPr="00D20A5F">
        <w:rPr>
          <w:rFonts w:ascii="Arial Narrow" w:hAnsi="Arial Narrow" w:cs="Times New Roman"/>
          <w:sz w:val="24"/>
          <w:szCs w:val="24"/>
        </w:rPr>
        <w:t>other</w:t>
      </w:r>
      <w:r w:rsidRPr="00D20A5F">
        <w:rPr>
          <w:rFonts w:ascii="Arial Narrow" w:hAnsi="Arial Narrow" w:cs="Times New Roman"/>
          <w:sz w:val="24"/>
          <w:szCs w:val="24"/>
        </w:rPr>
        <w:t xml:space="preserve"> instances</w:t>
      </w:r>
      <w:r w:rsidR="00664769">
        <w:rPr>
          <w:rFonts w:ascii="Arial Narrow" w:hAnsi="Arial Narrow" w:cs="Times New Roman"/>
          <w:sz w:val="24"/>
          <w:szCs w:val="24"/>
        </w:rPr>
        <w:t xml:space="preserve">, UGF is </w:t>
      </w:r>
      <w:r w:rsidRPr="00D20A5F">
        <w:rPr>
          <w:rFonts w:ascii="Arial Narrow" w:hAnsi="Arial Narrow" w:cs="Times New Roman"/>
          <w:sz w:val="24"/>
          <w:szCs w:val="24"/>
        </w:rPr>
        <w:t xml:space="preserve">leveraged </w:t>
      </w:r>
      <w:r w:rsidR="00744274">
        <w:rPr>
          <w:rFonts w:ascii="Arial Narrow" w:hAnsi="Arial Narrow" w:cs="Times New Roman"/>
          <w:sz w:val="24"/>
          <w:szCs w:val="24"/>
        </w:rPr>
        <w:t xml:space="preserve">freely </w:t>
      </w:r>
      <w:r w:rsidRPr="00D20A5F">
        <w:rPr>
          <w:rFonts w:ascii="Arial Narrow" w:hAnsi="Arial Narrow" w:cs="Times New Roman"/>
          <w:sz w:val="24"/>
          <w:szCs w:val="24"/>
        </w:rPr>
        <w:t xml:space="preserve">to deliver </w:t>
      </w:r>
      <w:r w:rsidR="0096263F" w:rsidRPr="00D20A5F">
        <w:rPr>
          <w:rFonts w:ascii="Arial Narrow" w:hAnsi="Arial Narrow" w:cs="Times New Roman"/>
          <w:sz w:val="24"/>
          <w:szCs w:val="24"/>
        </w:rPr>
        <w:t xml:space="preserve">courses as a service </w:t>
      </w:r>
      <w:r w:rsidRPr="00D20A5F">
        <w:rPr>
          <w:rFonts w:ascii="Arial Narrow" w:hAnsi="Arial Narrow" w:cs="Times New Roman"/>
          <w:sz w:val="24"/>
          <w:szCs w:val="24"/>
        </w:rPr>
        <w:t>to the community.</w:t>
      </w:r>
    </w:p>
    <w:p w:rsidR="00AB0A2F" w:rsidRPr="00D20A5F" w:rsidRDefault="00AB0A2F" w:rsidP="00000141">
      <w:pPr>
        <w:autoSpaceDE w:val="0"/>
        <w:autoSpaceDN w:val="0"/>
        <w:adjustRightInd w:val="0"/>
        <w:spacing w:after="0" w:line="240" w:lineRule="auto"/>
        <w:rPr>
          <w:rFonts w:ascii="Arial Narrow" w:hAnsi="Arial Narrow" w:cs="Times New Roman"/>
          <w:sz w:val="24"/>
          <w:szCs w:val="24"/>
        </w:rPr>
      </w:pPr>
    </w:p>
    <w:p w:rsidR="00AB0A2F" w:rsidRPr="00D20A5F" w:rsidRDefault="00AB0A2F" w:rsidP="00AB0A2F">
      <w:pPr>
        <w:pStyle w:val="NoSpacing"/>
        <w:rPr>
          <w:rFonts w:ascii="Arial Narrow" w:hAnsi="Arial Narrow"/>
        </w:rPr>
      </w:pPr>
      <w:r w:rsidRPr="00D20A5F">
        <w:rPr>
          <w:rFonts w:ascii="Arial Narrow" w:hAnsi="Arial Narrow"/>
          <w:b/>
          <w:szCs w:val="24"/>
        </w:rPr>
        <w:t>Faculty Involvement</w:t>
      </w:r>
      <w:r w:rsidRPr="00D20A5F">
        <w:rPr>
          <w:rFonts w:ascii="Arial Narrow" w:hAnsi="Arial Narrow"/>
          <w:szCs w:val="24"/>
        </w:rPr>
        <w:t xml:space="preserve">:  </w:t>
      </w:r>
      <w:r w:rsidRPr="00D20A5F">
        <w:rPr>
          <w:rFonts w:ascii="Arial Narrow" w:hAnsi="Arial Narrow"/>
        </w:rPr>
        <w:t>UAA Faculty possess a broad array of expertise (skill sets and knowledge) which they are</w:t>
      </w:r>
      <w:r w:rsidR="00C61B3B" w:rsidRPr="00D20A5F">
        <w:rPr>
          <w:rFonts w:ascii="Arial Narrow" w:hAnsi="Arial Narrow"/>
        </w:rPr>
        <w:t>,</w:t>
      </w:r>
      <w:r w:rsidRPr="00D20A5F">
        <w:rPr>
          <w:rFonts w:ascii="Arial Narrow" w:hAnsi="Arial Narrow"/>
        </w:rPr>
        <w:t xml:space="preserve"> </w:t>
      </w:r>
      <w:r w:rsidR="00C61B3B" w:rsidRPr="00D20A5F">
        <w:rPr>
          <w:rFonts w:ascii="Arial Narrow" w:hAnsi="Arial Narrow"/>
        </w:rPr>
        <w:t>in many cases, eager to share</w:t>
      </w:r>
      <w:r w:rsidRPr="00D20A5F">
        <w:rPr>
          <w:rFonts w:ascii="Arial Narrow" w:hAnsi="Arial Narrow"/>
        </w:rPr>
        <w:t>. In part</w:t>
      </w:r>
      <w:r w:rsidR="0096263F" w:rsidRPr="00D20A5F">
        <w:rPr>
          <w:rFonts w:ascii="Arial Narrow" w:hAnsi="Arial Narrow"/>
        </w:rPr>
        <w:t>,</w:t>
      </w:r>
      <w:r w:rsidRPr="00D20A5F">
        <w:rPr>
          <w:rFonts w:ascii="Arial Narrow" w:hAnsi="Arial Narrow"/>
        </w:rPr>
        <w:t xml:space="preserve"> this reflects the fact that UAA faculty </w:t>
      </w:r>
      <w:r w:rsidR="00B250BE" w:rsidRPr="00D20A5F">
        <w:rPr>
          <w:rFonts w:ascii="Arial Narrow" w:hAnsi="Arial Narrow"/>
        </w:rPr>
        <w:t xml:space="preserve">take pride in sharing their </w:t>
      </w:r>
      <w:r w:rsidR="0096263F" w:rsidRPr="00D20A5F">
        <w:rPr>
          <w:rFonts w:ascii="Arial Narrow" w:hAnsi="Arial Narrow"/>
        </w:rPr>
        <w:t>talents</w:t>
      </w:r>
      <w:r w:rsidR="00B250BE" w:rsidRPr="00D20A5F">
        <w:rPr>
          <w:rFonts w:ascii="Arial Narrow" w:hAnsi="Arial Narrow"/>
        </w:rPr>
        <w:t xml:space="preserve"> with the community</w:t>
      </w:r>
      <w:r w:rsidRPr="00D20A5F">
        <w:rPr>
          <w:rFonts w:ascii="Arial Narrow" w:hAnsi="Arial Narrow"/>
        </w:rPr>
        <w:t>.</w:t>
      </w:r>
      <w:r w:rsidR="0096263F" w:rsidRPr="00D20A5F">
        <w:rPr>
          <w:rFonts w:ascii="Arial Narrow" w:hAnsi="Arial Narrow"/>
        </w:rPr>
        <w:t xml:space="preserve"> In some cases faculty contribute time as a “service” component and in other cases faculty are paid additional to their faculty contract.</w:t>
      </w:r>
      <w:r w:rsidR="0095634B">
        <w:rPr>
          <w:rFonts w:ascii="Arial Narrow" w:hAnsi="Arial Narrow"/>
        </w:rPr>
        <w:t xml:space="preserve"> </w:t>
      </w:r>
      <w:r w:rsidR="00FE0196">
        <w:rPr>
          <w:rFonts w:ascii="Arial Narrow" w:hAnsi="Arial Narrow"/>
        </w:rPr>
        <w:t>Paying faculty largely occurs as a workload adjustment and not an overload and policies and practices are often differing depending on the faculty member or academic unit.</w:t>
      </w:r>
    </w:p>
    <w:p w:rsidR="001A0E0D" w:rsidRPr="00D20A5F" w:rsidRDefault="001A0E0D" w:rsidP="00AB0A2F">
      <w:pPr>
        <w:pStyle w:val="NoSpacing"/>
        <w:rPr>
          <w:rFonts w:ascii="Arial Narrow" w:hAnsi="Arial Narrow"/>
        </w:rPr>
      </w:pPr>
    </w:p>
    <w:p w:rsidR="00AB0A2F" w:rsidRPr="00D20A5F" w:rsidRDefault="00AB0A2F" w:rsidP="00AB0A2F">
      <w:pPr>
        <w:pStyle w:val="NoSpacing"/>
        <w:rPr>
          <w:rFonts w:ascii="Arial Narrow" w:hAnsi="Arial Narrow"/>
        </w:rPr>
      </w:pPr>
      <w:r w:rsidRPr="00D20A5F">
        <w:rPr>
          <w:rFonts w:ascii="Arial Narrow" w:hAnsi="Arial Narrow"/>
        </w:rPr>
        <w:t xml:space="preserve">The </w:t>
      </w:r>
      <w:r w:rsidR="00AD55E5" w:rsidRPr="00D20A5F">
        <w:rPr>
          <w:rFonts w:ascii="Arial Narrow" w:hAnsi="Arial Narrow"/>
        </w:rPr>
        <w:t>range</w:t>
      </w:r>
      <w:r w:rsidRPr="00D20A5F">
        <w:rPr>
          <w:rFonts w:ascii="Arial Narrow" w:hAnsi="Arial Narrow"/>
        </w:rPr>
        <w:t xml:space="preserve"> of CPE </w:t>
      </w:r>
      <w:r w:rsidR="00AD55E5" w:rsidRPr="00D20A5F">
        <w:rPr>
          <w:rFonts w:ascii="Arial Narrow" w:hAnsi="Arial Narrow"/>
        </w:rPr>
        <w:t xml:space="preserve">courses delivered by </w:t>
      </w:r>
      <w:r w:rsidRPr="00D20A5F">
        <w:rPr>
          <w:rFonts w:ascii="Arial Narrow" w:hAnsi="Arial Narrow"/>
        </w:rPr>
        <w:t xml:space="preserve">UAA faculty </w:t>
      </w:r>
      <w:r w:rsidR="00AD55E5" w:rsidRPr="00D20A5F">
        <w:rPr>
          <w:rFonts w:ascii="Arial Narrow" w:hAnsi="Arial Narrow"/>
        </w:rPr>
        <w:t xml:space="preserve">is diverse. </w:t>
      </w:r>
      <w:r w:rsidR="001A0E0D" w:rsidRPr="00D20A5F">
        <w:rPr>
          <w:rFonts w:ascii="Arial Narrow" w:hAnsi="Arial Narrow"/>
        </w:rPr>
        <w:t>Most</w:t>
      </w:r>
      <w:r w:rsidR="00AD55E5" w:rsidRPr="00D20A5F">
        <w:rPr>
          <w:rFonts w:ascii="Arial Narrow" w:hAnsi="Arial Narrow"/>
        </w:rPr>
        <w:t xml:space="preserve"> faculty </w:t>
      </w:r>
      <w:r w:rsidRPr="00D20A5F">
        <w:rPr>
          <w:rFonts w:ascii="Arial Narrow" w:hAnsi="Arial Narrow"/>
        </w:rPr>
        <w:t>share in common</w:t>
      </w:r>
      <w:r w:rsidR="001A0E0D" w:rsidRPr="00D20A5F">
        <w:rPr>
          <w:rFonts w:ascii="Arial Narrow" w:hAnsi="Arial Narrow"/>
        </w:rPr>
        <w:t>:</w:t>
      </w:r>
      <w:r w:rsidRPr="00D20A5F">
        <w:rPr>
          <w:rFonts w:ascii="Arial Narrow" w:hAnsi="Arial Narrow"/>
        </w:rPr>
        <w:t xml:space="preserve"> </w:t>
      </w:r>
      <w:r w:rsidR="00AD55E5" w:rsidRPr="00D20A5F">
        <w:rPr>
          <w:rFonts w:ascii="Arial Narrow" w:hAnsi="Arial Narrow"/>
        </w:rPr>
        <w:t xml:space="preserve">a vision for </w:t>
      </w:r>
      <w:r w:rsidRPr="00D20A5F">
        <w:rPr>
          <w:rFonts w:ascii="Arial Narrow" w:hAnsi="Arial Narrow"/>
        </w:rPr>
        <w:t>broaden</w:t>
      </w:r>
      <w:r w:rsidR="00AD55E5" w:rsidRPr="00D20A5F">
        <w:rPr>
          <w:rFonts w:ascii="Arial Narrow" w:hAnsi="Arial Narrow"/>
        </w:rPr>
        <w:t>ing</w:t>
      </w:r>
      <w:r w:rsidRPr="00D20A5F">
        <w:rPr>
          <w:rFonts w:ascii="Arial Narrow" w:hAnsi="Arial Narrow"/>
        </w:rPr>
        <w:t xml:space="preserve"> our connections to the community</w:t>
      </w:r>
      <w:r w:rsidR="001A0E0D" w:rsidRPr="00D20A5F">
        <w:rPr>
          <w:rFonts w:ascii="Arial Narrow" w:hAnsi="Arial Narrow"/>
        </w:rPr>
        <w:t>;</w:t>
      </w:r>
      <w:r w:rsidRPr="00D20A5F">
        <w:rPr>
          <w:rFonts w:ascii="Arial Narrow" w:hAnsi="Arial Narrow"/>
        </w:rPr>
        <w:t xml:space="preserve"> raising the visibility and consciousness of UAA</w:t>
      </w:r>
      <w:r w:rsidR="001A0E0D" w:rsidRPr="00D20A5F">
        <w:rPr>
          <w:rFonts w:ascii="Arial Narrow" w:hAnsi="Arial Narrow"/>
        </w:rPr>
        <w:t>;</w:t>
      </w:r>
      <w:r w:rsidR="00AD55E5" w:rsidRPr="00D20A5F">
        <w:rPr>
          <w:rFonts w:ascii="Arial Narrow" w:hAnsi="Arial Narrow"/>
        </w:rPr>
        <w:t xml:space="preserve"> </w:t>
      </w:r>
      <w:r w:rsidRPr="00D20A5F">
        <w:rPr>
          <w:rFonts w:ascii="Arial Narrow" w:hAnsi="Arial Narrow"/>
        </w:rPr>
        <w:t xml:space="preserve">and </w:t>
      </w:r>
      <w:r w:rsidR="00AD55E5" w:rsidRPr="00D20A5F">
        <w:rPr>
          <w:rFonts w:ascii="Arial Narrow" w:hAnsi="Arial Narrow"/>
        </w:rPr>
        <w:t>having an additional vehicle</w:t>
      </w:r>
      <w:r w:rsidRPr="00D20A5F">
        <w:rPr>
          <w:rFonts w:ascii="Arial Narrow" w:hAnsi="Arial Narrow"/>
        </w:rPr>
        <w:t xml:space="preserve"> to recruit students into regular classes and degree programs. </w:t>
      </w:r>
      <w:r w:rsidR="00AD55E5" w:rsidRPr="00D20A5F">
        <w:rPr>
          <w:rFonts w:ascii="Arial Narrow" w:hAnsi="Arial Narrow"/>
        </w:rPr>
        <w:t>There is potential benefit in</w:t>
      </w:r>
      <w:r w:rsidRPr="00D20A5F">
        <w:rPr>
          <w:rFonts w:ascii="Arial Narrow" w:hAnsi="Arial Narrow"/>
        </w:rPr>
        <w:t xml:space="preserve"> </w:t>
      </w:r>
      <w:r w:rsidR="00AD55E5" w:rsidRPr="00D20A5F">
        <w:rPr>
          <w:rFonts w:ascii="Arial Narrow" w:hAnsi="Arial Narrow"/>
        </w:rPr>
        <w:t xml:space="preserve">more intentionally and strategically involving </w:t>
      </w:r>
      <w:r w:rsidRPr="00D20A5F">
        <w:rPr>
          <w:rFonts w:ascii="Arial Narrow" w:hAnsi="Arial Narrow"/>
        </w:rPr>
        <w:t>faculty in CPE.</w:t>
      </w:r>
      <w:r w:rsidR="007A238C" w:rsidRPr="00D20A5F">
        <w:rPr>
          <w:rFonts w:ascii="Arial Narrow" w:hAnsi="Arial Narrow"/>
        </w:rPr>
        <w:t xml:space="preserve"> </w:t>
      </w:r>
      <w:r w:rsidR="001A0E0D" w:rsidRPr="00D20A5F">
        <w:rPr>
          <w:rFonts w:ascii="Arial Narrow" w:hAnsi="Arial Narrow"/>
        </w:rPr>
        <w:t xml:space="preserve">However, the obstacles associated with engaging faulty are numerous </w:t>
      </w:r>
      <w:r w:rsidRPr="00D20A5F">
        <w:rPr>
          <w:rFonts w:ascii="Arial Narrow" w:hAnsi="Arial Narrow"/>
        </w:rPr>
        <w:t xml:space="preserve">and more than procedural tweaks to how UAA </w:t>
      </w:r>
      <w:r w:rsidR="001A0E0D" w:rsidRPr="00D20A5F">
        <w:rPr>
          <w:rFonts w:ascii="Arial Narrow" w:hAnsi="Arial Narrow"/>
        </w:rPr>
        <w:t>manages</w:t>
      </w:r>
      <w:r w:rsidR="00AD55E5" w:rsidRPr="00D20A5F">
        <w:rPr>
          <w:rFonts w:ascii="Arial Narrow" w:hAnsi="Arial Narrow"/>
        </w:rPr>
        <w:t xml:space="preserve"> CPE </w:t>
      </w:r>
      <w:r w:rsidR="001A0E0D" w:rsidRPr="00D20A5F">
        <w:rPr>
          <w:rFonts w:ascii="Arial Narrow" w:hAnsi="Arial Narrow"/>
        </w:rPr>
        <w:t>faculty hires will be necessary</w:t>
      </w:r>
      <w:r w:rsidR="00AD55E5" w:rsidRPr="00D20A5F">
        <w:rPr>
          <w:rFonts w:ascii="Arial Narrow" w:hAnsi="Arial Narrow"/>
        </w:rPr>
        <w:t>.</w:t>
      </w:r>
    </w:p>
    <w:p w:rsidR="00AB0A2F" w:rsidRPr="00D20A5F" w:rsidRDefault="00AB0A2F" w:rsidP="00AB0A2F">
      <w:pPr>
        <w:pStyle w:val="NoSpacing"/>
        <w:rPr>
          <w:rFonts w:ascii="Arial Narrow" w:hAnsi="Arial Narrow"/>
        </w:rPr>
      </w:pPr>
    </w:p>
    <w:p w:rsidR="00AB0A2F" w:rsidRPr="00D20A5F" w:rsidRDefault="00794456" w:rsidP="00AB0A2F">
      <w:pPr>
        <w:pStyle w:val="NoSpacing"/>
        <w:rPr>
          <w:rFonts w:ascii="Arial Narrow" w:hAnsi="Arial Narrow"/>
        </w:rPr>
      </w:pPr>
      <w:r w:rsidRPr="00D20A5F">
        <w:rPr>
          <w:rFonts w:ascii="Arial Narrow" w:hAnsi="Arial Narrow"/>
        </w:rPr>
        <w:t xml:space="preserve">Faculty hires fall typically into </w:t>
      </w:r>
      <w:r w:rsidR="00AB0A2F" w:rsidRPr="00D20A5F">
        <w:rPr>
          <w:rFonts w:ascii="Arial Narrow" w:hAnsi="Arial Narrow"/>
        </w:rPr>
        <w:t xml:space="preserve">distinct </w:t>
      </w:r>
      <w:r w:rsidR="001A0E0D" w:rsidRPr="00D20A5F">
        <w:rPr>
          <w:rFonts w:ascii="Arial Narrow" w:hAnsi="Arial Narrow"/>
        </w:rPr>
        <w:t>buckets</w:t>
      </w:r>
      <w:r w:rsidRPr="00D20A5F">
        <w:rPr>
          <w:rFonts w:ascii="Arial Narrow" w:hAnsi="Arial Narrow"/>
        </w:rPr>
        <w:t xml:space="preserve">: 1) industry specific courses, and 2) topic specific courses. In consideration of </w:t>
      </w:r>
      <w:r w:rsidR="001A0E0D" w:rsidRPr="00D20A5F">
        <w:rPr>
          <w:rFonts w:ascii="Arial Narrow" w:hAnsi="Arial Narrow"/>
        </w:rPr>
        <w:t xml:space="preserve">industry specific </w:t>
      </w:r>
      <w:r w:rsidR="00B84EFF" w:rsidRPr="00D20A5F">
        <w:rPr>
          <w:rFonts w:ascii="Arial Narrow" w:hAnsi="Arial Narrow"/>
        </w:rPr>
        <w:t>courses</w:t>
      </w:r>
      <w:r w:rsidR="00AB0A2F" w:rsidRPr="00D20A5F">
        <w:rPr>
          <w:rFonts w:ascii="Arial Narrow" w:hAnsi="Arial Narrow"/>
        </w:rPr>
        <w:t xml:space="preserve"> (</w:t>
      </w:r>
      <w:r w:rsidRPr="00D20A5F">
        <w:rPr>
          <w:rFonts w:ascii="Arial Narrow" w:hAnsi="Arial Narrow"/>
        </w:rPr>
        <w:t xml:space="preserve">e.g. </w:t>
      </w:r>
      <w:r w:rsidR="00AB0A2F" w:rsidRPr="00D20A5F">
        <w:rPr>
          <w:rFonts w:ascii="Arial Narrow" w:hAnsi="Arial Narrow"/>
        </w:rPr>
        <w:t>welding, hospital administration, project management, logistics</w:t>
      </w:r>
      <w:r w:rsidRPr="00D20A5F">
        <w:rPr>
          <w:rFonts w:ascii="Arial Narrow" w:hAnsi="Arial Narrow"/>
        </w:rPr>
        <w:t>, business management and even leadership)</w:t>
      </w:r>
      <w:r w:rsidR="00AB0A2F" w:rsidRPr="00D20A5F">
        <w:rPr>
          <w:rFonts w:ascii="Arial Narrow" w:hAnsi="Arial Narrow"/>
        </w:rPr>
        <w:t xml:space="preserve"> </w:t>
      </w:r>
      <w:r w:rsidRPr="00D20A5F">
        <w:rPr>
          <w:rFonts w:ascii="Arial Narrow" w:hAnsi="Arial Narrow"/>
        </w:rPr>
        <w:t>skilled faculty are available both within and outside of UAA</w:t>
      </w:r>
      <w:r w:rsidR="00AB0A2F" w:rsidRPr="00D20A5F">
        <w:rPr>
          <w:rFonts w:ascii="Arial Narrow" w:hAnsi="Arial Narrow"/>
        </w:rPr>
        <w:t xml:space="preserve">. </w:t>
      </w:r>
      <w:r w:rsidRPr="00D20A5F">
        <w:rPr>
          <w:rFonts w:ascii="Arial Narrow" w:hAnsi="Arial Narrow"/>
        </w:rPr>
        <w:t xml:space="preserve">In many instances, the hiring of professionals external to UAA is bureaucratically easier. </w:t>
      </w:r>
      <w:r w:rsidR="00AB0A2F" w:rsidRPr="00D20A5F">
        <w:rPr>
          <w:rFonts w:ascii="Arial Narrow" w:hAnsi="Arial Narrow"/>
        </w:rPr>
        <w:t xml:space="preserve">Properly recruited and vetted, these </w:t>
      </w:r>
      <w:r w:rsidRPr="00D20A5F">
        <w:rPr>
          <w:rFonts w:ascii="Arial Narrow" w:hAnsi="Arial Narrow"/>
        </w:rPr>
        <w:t xml:space="preserve">professionals </w:t>
      </w:r>
      <w:r w:rsidR="00AB0A2F" w:rsidRPr="00D20A5F">
        <w:rPr>
          <w:rFonts w:ascii="Arial Narrow" w:hAnsi="Arial Narrow"/>
        </w:rPr>
        <w:t>serve CPE programs as adjunct faculty</w:t>
      </w:r>
      <w:r w:rsidRPr="00D20A5F">
        <w:rPr>
          <w:rFonts w:ascii="Arial Narrow" w:hAnsi="Arial Narrow"/>
        </w:rPr>
        <w:t xml:space="preserve"> effectively</w:t>
      </w:r>
      <w:r w:rsidR="00AB0A2F" w:rsidRPr="00D20A5F">
        <w:rPr>
          <w:rFonts w:ascii="Arial Narrow" w:hAnsi="Arial Narrow"/>
        </w:rPr>
        <w:t xml:space="preserve">. </w:t>
      </w:r>
      <w:r w:rsidRPr="00D20A5F">
        <w:rPr>
          <w:rFonts w:ascii="Arial Narrow" w:hAnsi="Arial Narrow"/>
        </w:rPr>
        <w:t>CPE offerings specific to</w:t>
      </w:r>
      <w:r w:rsidR="00AB0A2F" w:rsidRPr="00D20A5F">
        <w:rPr>
          <w:rFonts w:ascii="Arial Narrow" w:hAnsi="Arial Narrow"/>
        </w:rPr>
        <w:t xml:space="preserve"> professional development, credentialing, or training, can be ramped up quickly and </w:t>
      </w:r>
      <w:r w:rsidRPr="00D20A5F">
        <w:rPr>
          <w:rFonts w:ascii="Arial Narrow" w:hAnsi="Arial Narrow"/>
        </w:rPr>
        <w:t>when marketed and planned well offer promise of earned income revenues sufficient for sustainability</w:t>
      </w:r>
      <w:r w:rsidR="00AB0A2F" w:rsidRPr="00D20A5F">
        <w:rPr>
          <w:rFonts w:ascii="Arial Narrow" w:hAnsi="Arial Narrow"/>
        </w:rPr>
        <w:t>.</w:t>
      </w:r>
    </w:p>
    <w:p w:rsidR="00AB0A2F" w:rsidRPr="00D20A5F" w:rsidRDefault="00AB0A2F" w:rsidP="00AB0A2F">
      <w:pPr>
        <w:pStyle w:val="NoSpacing"/>
        <w:rPr>
          <w:rFonts w:ascii="Arial Narrow" w:hAnsi="Arial Narrow"/>
        </w:rPr>
      </w:pPr>
    </w:p>
    <w:p w:rsidR="00AB0A2F" w:rsidRPr="00D20A5F" w:rsidRDefault="00B84EFF" w:rsidP="00AB0A2F">
      <w:pPr>
        <w:pStyle w:val="NoSpacing"/>
        <w:rPr>
          <w:rFonts w:ascii="Arial Narrow" w:hAnsi="Arial Narrow"/>
        </w:rPr>
      </w:pPr>
      <w:r w:rsidRPr="00D20A5F">
        <w:rPr>
          <w:rFonts w:ascii="Arial Narrow" w:hAnsi="Arial Narrow"/>
        </w:rPr>
        <w:t>When we consider topic specific courses</w:t>
      </w:r>
      <w:r w:rsidR="00AB0A2F" w:rsidRPr="00D20A5F">
        <w:rPr>
          <w:rFonts w:ascii="Arial Narrow" w:hAnsi="Arial Narrow"/>
        </w:rPr>
        <w:t xml:space="preserve"> (</w:t>
      </w:r>
      <w:r w:rsidRPr="00D20A5F">
        <w:rPr>
          <w:rFonts w:ascii="Arial Narrow" w:hAnsi="Arial Narrow"/>
        </w:rPr>
        <w:t xml:space="preserve">e.g. </w:t>
      </w:r>
      <w:r w:rsidR="00AB0A2F" w:rsidRPr="00D20A5F">
        <w:rPr>
          <w:rFonts w:ascii="Arial Narrow" w:hAnsi="Arial Narrow"/>
        </w:rPr>
        <w:t>East Asian history, culture, and politics; medieval literature; cultural practices of indigenous peoples, mating patterns of fish</w:t>
      </w:r>
      <w:r w:rsidRPr="00D20A5F">
        <w:rPr>
          <w:rFonts w:ascii="Arial Narrow" w:hAnsi="Arial Narrow"/>
        </w:rPr>
        <w:t>, etc.</w:t>
      </w:r>
      <w:r w:rsidR="00AB0A2F" w:rsidRPr="00D20A5F">
        <w:rPr>
          <w:rFonts w:ascii="Arial Narrow" w:hAnsi="Arial Narrow"/>
        </w:rPr>
        <w:t xml:space="preserve">) </w:t>
      </w:r>
      <w:r w:rsidRPr="00D20A5F">
        <w:rPr>
          <w:rFonts w:ascii="Arial Narrow" w:hAnsi="Arial Narrow"/>
        </w:rPr>
        <w:t>professionals possessing deep and specific</w:t>
      </w:r>
      <w:r w:rsidR="00AB0A2F" w:rsidRPr="00D20A5F">
        <w:rPr>
          <w:rFonts w:ascii="Arial Narrow" w:hAnsi="Arial Narrow"/>
        </w:rPr>
        <w:t xml:space="preserve"> knowledge outside of the university are rare. This knowledge is primarily among full time, tenure track faculty. The impediments to unlocking the value inherent in that knowledge for CPE are considerable, but principally revolve around budgetary and institutional restraints</w:t>
      </w:r>
      <w:r w:rsidRPr="00D20A5F">
        <w:rPr>
          <w:rFonts w:ascii="Arial Narrow" w:hAnsi="Arial Narrow"/>
        </w:rPr>
        <w:t xml:space="preserve"> associated with faculty contracts and perceptions that CEP offerings could negatively </w:t>
      </w:r>
      <w:r w:rsidR="00664769" w:rsidRPr="00D20A5F">
        <w:rPr>
          <w:rFonts w:ascii="Arial Narrow" w:hAnsi="Arial Narrow"/>
        </w:rPr>
        <w:t>influence</w:t>
      </w:r>
      <w:r w:rsidRPr="00D20A5F">
        <w:rPr>
          <w:rFonts w:ascii="Arial Narrow" w:hAnsi="Arial Narrow"/>
        </w:rPr>
        <w:t xml:space="preserve"> enrollments and even accreditation</w:t>
      </w:r>
      <w:r w:rsidR="00AB0A2F" w:rsidRPr="00D20A5F">
        <w:rPr>
          <w:rFonts w:ascii="Arial Narrow" w:hAnsi="Arial Narrow"/>
        </w:rPr>
        <w:t xml:space="preserve">. </w:t>
      </w:r>
    </w:p>
    <w:p w:rsidR="00AB0A2F" w:rsidRPr="00D20A5F" w:rsidRDefault="00AB0A2F" w:rsidP="00AB0A2F">
      <w:pPr>
        <w:pStyle w:val="NoSpacing"/>
        <w:rPr>
          <w:rFonts w:ascii="Arial Narrow" w:hAnsi="Arial Narrow"/>
        </w:rPr>
      </w:pPr>
    </w:p>
    <w:p w:rsidR="00AB0A2F" w:rsidRPr="00D20A5F" w:rsidRDefault="00B84EFF" w:rsidP="00AB0A2F">
      <w:pPr>
        <w:pStyle w:val="NoSpacing"/>
        <w:rPr>
          <w:rFonts w:ascii="Arial Narrow" w:hAnsi="Arial Narrow"/>
        </w:rPr>
      </w:pPr>
      <w:r w:rsidRPr="00D20A5F">
        <w:rPr>
          <w:rFonts w:ascii="Arial Narrow" w:hAnsi="Arial Narrow"/>
        </w:rPr>
        <w:t xml:space="preserve">UAA’s current fiscal climate has placed greater </w:t>
      </w:r>
      <w:r w:rsidR="00AB0A2F" w:rsidRPr="00D20A5F">
        <w:rPr>
          <w:rFonts w:ascii="Arial Narrow" w:hAnsi="Arial Narrow"/>
        </w:rPr>
        <w:t xml:space="preserve">pressure on full-time, tenure track faculty to assume a larger share of teaching responsibilities. It is also </w:t>
      </w:r>
      <w:r w:rsidRPr="00D20A5F">
        <w:rPr>
          <w:rFonts w:ascii="Arial Narrow" w:hAnsi="Arial Narrow"/>
        </w:rPr>
        <w:t xml:space="preserve">increasing poignant </w:t>
      </w:r>
      <w:r w:rsidR="00AB0A2F" w:rsidRPr="00D20A5F">
        <w:rPr>
          <w:rFonts w:ascii="Arial Narrow" w:hAnsi="Arial Narrow"/>
        </w:rPr>
        <w:t xml:space="preserve">that (faculty workload agreements under the current CBA actually represent </w:t>
      </w:r>
      <w:r w:rsidRPr="00D20A5F">
        <w:rPr>
          <w:rFonts w:ascii="Arial Narrow" w:hAnsi="Arial Narrow"/>
        </w:rPr>
        <w:t>exact faculty effort contributions</w:t>
      </w:r>
      <w:r w:rsidR="00AB0A2F" w:rsidRPr="00D20A5F">
        <w:rPr>
          <w:rFonts w:ascii="Arial Narrow" w:hAnsi="Arial Narrow"/>
        </w:rPr>
        <w:t xml:space="preserve">) as budgets get tighter both faculty and administration </w:t>
      </w:r>
      <w:r w:rsidRPr="00D20A5F">
        <w:rPr>
          <w:rFonts w:ascii="Arial Narrow" w:hAnsi="Arial Narrow"/>
        </w:rPr>
        <w:t xml:space="preserve">are </w:t>
      </w:r>
      <w:r w:rsidR="00AB0A2F" w:rsidRPr="00D20A5F">
        <w:rPr>
          <w:rFonts w:ascii="Arial Narrow" w:hAnsi="Arial Narrow"/>
        </w:rPr>
        <w:t xml:space="preserve">increasingly </w:t>
      </w:r>
      <w:r w:rsidRPr="00D20A5F">
        <w:rPr>
          <w:rFonts w:ascii="Arial Narrow" w:hAnsi="Arial Narrow"/>
        </w:rPr>
        <w:t>tightening</w:t>
      </w:r>
      <w:r w:rsidR="00AB0A2F" w:rsidRPr="00D20A5F">
        <w:rPr>
          <w:rFonts w:ascii="Arial Narrow" w:hAnsi="Arial Narrow"/>
        </w:rPr>
        <w:t xml:space="preserve"> workload to ext</w:t>
      </w:r>
      <w:r w:rsidR="002432D8" w:rsidRPr="00D20A5F">
        <w:rPr>
          <w:rFonts w:ascii="Arial Narrow" w:hAnsi="Arial Narrow"/>
        </w:rPr>
        <w:t xml:space="preserve">ract maximum value from faculty. </w:t>
      </w:r>
      <w:r w:rsidR="00AB0A2F" w:rsidRPr="00D20A5F">
        <w:rPr>
          <w:rFonts w:ascii="Arial Narrow" w:hAnsi="Arial Narrow"/>
        </w:rPr>
        <w:t xml:space="preserve">This discourages </w:t>
      </w:r>
      <w:r w:rsidR="002432D8" w:rsidRPr="00D20A5F">
        <w:rPr>
          <w:rFonts w:ascii="Arial Narrow" w:hAnsi="Arial Narrow"/>
        </w:rPr>
        <w:t xml:space="preserve">faculty from </w:t>
      </w:r>
      <w:r w:rsidR="00AB0A2F" w:rsidRPr="00D20A5F">
        <w:rPr>
          <w:rFonts w:ascii="Arial Narrow" w:hAnsi="Arial Narrow"/>
        </w:rPr>
        <w:t>taking on of additional teaching responsibilities and stifles entrepreneurial efforts on the part of faculty</w:t>
      </w:r>
      <w:r w:rsidR="002432D8" w:rsidRPr="00D20A5F">
        <w:rPr>
          <w:rFonts w:ascii="Arial Narrow" w:hAnsi="Arial Narrow"/>
        </w:rPr>
        <w:t xml:space="preserve"> that </w:t>
      </w:r>
      <w:r w:rsidR="005C4A38" w:rsidRPr="00D20A5F">
        <w:rPr>
          <w:rFonts w:ascii="Arial Narrow" w:hAnsi="Arial Narrow"/>
        </w:rPr>
        <w:t>do not</w:t>
      </w:r>
      <w:r w:rsidR="002432D8" w:rsidRPr="00D20A5F">
        <w:rPr>
          <w:rFonts w:ascii="Arial Narrow" w:hAnsi="Arial Narrow"/>
        </w:rPr>
        <w:t xml:space="preserve"> have the flexibility within their workloads. In many instances, </w:t>
      </w:r>
      <w:r w:rsidR="00664769">
        <w:rPr>
          <w:rFonts w:ascii="Arial Narrow" w:hAnsi="Arial Narrow"/>
        </w:rPr>
        <w:t>faculty teaching</w:t>
      </w:r>
      <w:r w:rsidR="005C4A38" w:rsidRPr="00D20A5F">
        <w:rPr>
          <w:rFonts w:ascii="Arial Narrow" w:hAnsi="Arial Narrow"/>
        </w:rPr>
        <w:t xml:space="preserve"> non-credit courses </w:t>
      </w:r>
      <w:r w:rsidR="002432D8" w:rsidRPr="00D20A5F">
        <w:rPr>
          <w:rFonts w:ascii="Arial Narrow" w:hAnsi="Arial Narrow"/>
        </w:rPr>
        <w:t>do so through an external corporation and not through UAA.</w:t>
      </w:r>
      <w:r w:rsidR="005C4A38" w:rsidRPr="00D20A5F">
        <w:rPr>
          <w:rFonts w:ascii="Arial Narrow" w:hAnsi="Arial Narrow"/>
        </w:rPr>
        <w:t xml:space="preserve"> </w:t>
      </w:r>
    </w:p>
    <w:p w:rsidR="00AB0A2F" w:rsidRPr="00D20A5F" w:rsidRDefault="00AB0A2F" w:rsidP="00AB0A2F">
      <w:pPr>
        <w:pStyle w:val="NoSpacing"/>
        <w:rPr>
          <w:rFonts w:ascii="Arial Narrow" w:hAnsi="Arial Narrow"/>
        </w:rPr>
      </w:pPr>
    </w:p>
    <w:p w:rsidR="00635E50" w:rsidRDefault="00AB0A2F" w:rsidP="00FE0196">
      <w:pPr>
        <w:pStyle w:val="NoSpacing"/>
        <w:rPr>
          <w:rFonts w:ascii="Arial Narrow" w:hAnsi="Arial Narrow"/>
        </w:rPr>
      </w:pPr>
      <w:r w:rsidRPr="00D20A5F">
        <w:rPr>
          <w:rFonts w:ascii="Arial Narrow" w:hAnsi="Arial Narrow"/>
        </w:rPr>
        <w:t xml:space="preserve">While external funding of CPE efforts for full-time, tenure track faculty can be somewhat effective in unlocking faculty value, the fact is such opportunities are rare and infrequent. </w:t>
      </w:r>
      <w:r w:rsidR="009C3C5C" w:rsidRPr="00D20A5F">
        <w:rPr>
          <w:rFonts w:ascii="Arial Narrow" w:hAnsi="Arial Narrow"/>
        </w:rPr>
        <w:t>F</w:t>
      </w:r>
      <w:r w:rsidR="002432D8" w:rsidRPr="00D20A5F">
        <w:rPr>
          <w:rFonts w:ascii="Arial Narrow" w:hAnsi="Arial Narrow"/>
        </w:rPr>
        <w:t>aculty contribute</w:t>
      </w:r>
      <w:r w:rsidR="005C4A38" w:rsidRPr="00D20A5F">
        <w:rPr>
          <w:rFonts w:ascii="Arial Narrow" w:hAnsi="Arial Narrow"/>
        </w:rPr>
        <w:t xml:space="preserve"> their </w:t>
      </w:r>
      <w:r w:rsidR="00D02EAA">
        <w:rPr>
          <w:rFonts w:ascii="Arial Narrow" w:hAnsi="Arial Narrow"/>
        </w:rPr>
        <w:t xml:space="preserve">time and </w:t>
      </w:r>
      <w:r w:rsidR="005C4A38" w:rsidRPr="00D20A5F">
        <w:rPr>
          <w:rFonts w:ascii="Arial Narrow" w:hAnsi="Arial Narrow"/>
        </w:rPr>
        <w:t>knowledge</w:t>
      </w:r>
      <w:r w:rsidR="009C3C5C" w:rsidRPr="00D20A5F">
        <w:rPr>
          <w:rFonts w:ascii="Arial Narrow" w:hAnsi="Arial Narrow"/>
        </w:rPr>
        <w:t xml:space="preserve">, but </w:t>
      </w:r>
      <w:r w:rsidR="00D02EAA">
        <w:rPr>
          <w:rFonts w:ascii="Arial Narrow" w:hAnsi="Arial Narrow"/>
        </w:rPr>
        <w:t>inconsistent mechanisms for rewarding faculty exist</w:t>
      </w:r>
      <w:r w:rsidRPr="00D20A5F">
        <w:rPr>
          <w:rFonts w:ascii="Arial Narrow" w:hAnsi="Arial Narrow"/>
        </w:rPr>
        <w:t xml:space="preserve">. </w:t>
      </w:r>
      <w:r w:rsidR="009C3C5C" w:rsidRPr="00D20A5F">
        <w:rPr>
          <w:rFonts w:ascii="Arial Narrow" w:hAnsi="Arial Narrow"/>
        </w:rPr>
        <w:t>Simultaneously</w:t>
      </w:r>
      <w:r w:rsidRPr="00D20A5F">
        <w:rPr>
          <w:rFonts w:ascii="Arial Narrow" w:hAnsi="Arial Narrow"/>
        </w:rPr>
        <w:t xml:space="preserve">, a more concerted effort </w:t>
      </w:r>
      <w:r w:rsidR="002432D8" w:rsidRPr="00D20A5F">
        <w:rPr>
          <w:rFonts w:ascii="Arial Narrow" w:hAnsi="Arial Narrow"/>
        </w:rPr>
        <w:t>would rely heavily on UGF resources</w:t>
      </w:r>
      <w:r w:rsidR="009C3C5C" w:rsidRPr="00D20A5F">
        <w:rPr>
          <w:rFonts w:ascii="Arial Narrow" w:hAnsi="Arial Narrow"/>
        </w:rPr>
        <w:t xml:space="preserve"> to ensure all faculty were provided similar opportunities for community engagement</w:t>
      </w:r>
      <w:r w:rsidRPr="00D20A5F">
        <w:rPr>
          <w:rFonts w:ascii="Arial Narrow" w:hAnsi="Arial Narrow"/>
        </w:rPr>
        <w:t xml:space="preserve">. </w:t>
      </w:r>
      <w:r w:rsidR="002432D8" w:rsidRPr="00D20A5F">
        <w:rPr>
          <w:rFonts w:ascii="Arial Narrow" w:hAnsi="Arial Narrow"/>
        </w:rPr>
        <w:t xml:space="preserve">In </w:t>
      </w:r>
      <w:r w:rsidRPr="00D20A5F">
        <w:rPr>
          <w:rFonts w:ascii="Arial Narrow" w:hAnsi="Arial Narrow"/>
        </w:rPr>
        <w:t>the current environment</w:t>
      </w:r>
      <w:r w:rsidR="002432D8" w:rsidRPr="00D20A5F">
        <w:rPr>
          <w:rFonts w:ascii="Arial Narrow" w:hAnsi="Arial Narrow"/>
        </w:rPr>
        <w:t>,</w:t>
      </w:r>
      <w:r w:rsidRPr="00D20A5F">
        <w:rPr>
          <w:rFonts w:ascii="Arial Narrow" w:hAnsi="Arial Narrow"/>
        </w:rPr>
        <w:t xml:space="preserve"> full-time, tenure track faculty will be hard pressed to meet the needs of their home programs, much less take on additional duties in order to generate revenues </w:t>
      </w:r>
      <w:r w:rsidR="002432D8" w:rsidRPr="00D20A5F">
        <w:rPr>
          <w:rFonts w:ascii="Arial Narrow" w:hAnsi="Arial Narrow"/>
        </w:rPr>
        <w:t>or even provide a public service training or workshop</w:t>
      </w:r>
      <w:r w:rsidRPr="00D20A5F">
        <w:rPr>
          <w:rFonts w:ascii="Arial Narrow" w:hAnsi="Arial Narrow"/>
        </w:rPr>
        <w:t xml:space="preserve">. </w:t>
      </w:r>
      <w:r w:rsidR="005C4A38" w:rsidRPr="00D20A5F">
        <w:rPr>
          <w:rFonts w:ascii="Arial Narrow" w:hAnsi="Arial Narrow"/>
        </w:rPr>
        <w:t xml:space="preserve">In some instances, faculty are </w:t>
      </w:r>
      <w:r w:rsidR="005C4A38" w:rsidRPr="00D20A5F">
        <w:rPr>
          <w:rFonts w:ascii="Arial Narrow" w:hAnsi="Arial Narrow"/>
        </w:rPr>
        <w:lastRenderedPageBreak/>
        <w:t>incorporating a community-engagement component within the courses they deliver to address their personal desire for supporting a community broader than UAA</w:t>
      </w:r>
      <w:r w:rsidR="009C3C5C" w:rsidRPr="00D20A5F">
        <w:rPr>
          <w:rFonts w:ascii="Arial Narrow" w:hAnsi="Arial Narrow"/>
        </w:rPr>
        <w:t>, these course can be directly competitive to CPE offerings and therefore we should manage these engagements carefully</w:t>
      </w:r>
      <w:r w:rsidR="005C4A38" w:rsidRPr="00D20A5F">
        <w:rPr>
          <w:rFonts w:ascii="Arial Narrow" w:hAnsi="Arial Narrow"/>
        </w:rPr>
        <w:t>.</w:t>
      </w:r>
    </w:p>
    <w:p w:rsidR="004D4D3C" w:rsidRDefault="004D4D3C" w:rsidP="00FE0196">
      <w:pPr>
        <w:pStyle w:val="NoSpacing"/>
        <w:rPr>
          <w:rFonts w:ascii="Arial Narrow" w:hAnsi="Arial Narrow"/>
          <w:b/>
          <w:szCs w:val="24"/>
        </w:rPr>
      </w:pPr>
    </w:p>
    <w:p w:rsidR="009C3C5C" w:rsidRPr="00D20A5F" w:rsidRDefault="007D5076" w:rsidP="00AB0A2F">
      <w:pPr>
        <w:pStyle w:val="NoSpacing"/>
        <w:rPr>
          <w:rFonts w:ascii="Arial Narrow" w:hAnsi="Arial Narrow"/>
        </w:rPr>
      </w:pPr>
      <w:r w:rsidRPr="00D20A5F">
        <w:rPr>
          <w:rFonts w:ascii="Arial Narrow" w:hAnsi="Arial Narrow"/>
          <w:b/>
          <w:szCs w:val="24"/>
        </w:rPr>
        <w:t>SWOT Assessment</w:t>
      </w:r>
      <w:r w:rsidRPr="00D20A5F">
        <w:rPr>
          <w:rFonts w:ascii="Arial Narrow" w:hAnsi="Arial Narrow"/>
          <w:szCs w:val="24"/>
        </w:rPr>
        <w:t xml:space="preserve">: </w:t>
      </w:r>
      <w:r w:rsidR="009C3C5C" w:rsidRPr="00D20A5F">
        <w:rPr>
          <w:rFonts w:ascii="Arial Narrow" w:hAnsi="Arial Narrow"/>
        </w:rPr>
        <w:t>Following is a summary of the strengths, and weaknesses (factors internal to UAA) as well as opportunities and threats (factors external to UAA) that contribute to faculty engagement.</w:t>
      </w:r>
    </w:p>
    <w:p w:rsidR="00AB0A2F" w:rsidRPr="00D20A5F" w:rsidRDefault="00AB0A2F" w:rsidP="00AB0A2F">
      <w:pPr>
        <w:pStyle w:val="NoSpacing"/>
        <w:rPr>
          <w:rFonts w:ascii="Arial Narrow" w:hAnsi="Arial Narrow"/>
        </w:rPr>
      </w:pPr>
    </w:p>
    <w:p w:rsidR="0034287F" w:rsidRPr="00D20A5F" w:rsidRDefault="0034287F" w:rsidP="00AB0A2F">
      <w:pPr>
        <w:pStyle w:val="NoSpacing"/>
        <w:rPr>
          <w:rFonts w:ascii="Arial Narrow" w:hAnsi="Arial Narrow"/>
        </w:rPr>
      </w:pPr>
    </w:p>
    <w:tbl>
      <w:tblPr>
        <w:tblStyle w:val="TableGrid"/>
        <w:tblW w:w="0" w:type="auto"/>
        <w:jc w:val="center"/>
        <w:tblLook w:val="04A0" w:firstRow="1" w:lastRow="0" w:firstColumn="1" w:lastColumn="0" w:noHBand="0" w:noVBand="1"/>
      </w:tblPr>
      <w:tblGrid>
        <w:gridCol w:w="4675"/>
        <w:gridCol w:w="4675"/>
      </w:tblGrid>
      <w:tr w:rsidR="0034287F" w:rsidRPr="00D20A5F" w:rsidTr="0066750D">
        <w:trPr>
          <w:jc w:val="center"/>
        </w:trPr>
        <w:tc>
          <w:tcPr>
            <w:tcW w:w="9350" w:type="dxa"/>
            <w:gridSpan w:val="2"/>
          </w:tcPr>
          <w:p w:rsidR="0034287F" w:rsidRPr="00D20A5F" w:rsidRDefault="0034287F" w:rsidP="001A2C41">
            <w:pPr>
              <w:jc w:val="center"/>
              <w:rPr>
                <w:rFonts w:ascii="Arial Narrow" w:hAnsi="Arial Narrow" w:cs="Times New Roman"/>
                <w:b/>
                <w:sz w:val="20"/>
                <w:szCs w:val="20"/>
              </w:rPr>
            </w:pPr>
            <w:r w:rsidRPr="00D20A5F">
              <w:rPr>
                <w:rFonts w:ascii="Arial Narrow" w:hAnsi="Arial Narrow" w:cs="Times New Roman"/>
                <w:b/>
                <w:sz w:val="20"/>
                <w:szCs w:val="20"/>
              </w:rPr>
              <w:t>Internal Factors</w:t>
            </w:r>
          </w:p>
        </w:tc>
      </w:tr>
      <w:tr w:rsidR="0034287F" w:rsidRPr="00D20A5F" w:rsidTr="0066750D">
        <w:trPr>
          <w:jc w:val="center"/>
        </w:trPr>
        <w:tc>
          <w:tcPr>
            <w:tcW w:w="4675" w:type="dxa"/>
            <w:shd w:val="clear" w:color="auto" w:fill="FFC000"/>
          </w:tcPr>
          <w:p w:rsidR="0034287F" w:rsidRPr="00D20A5F" w:rsidRDefault="0034287F" w:rsidP="001A2C41">
            <w:pPr>
              <w:rPr>
                <w:rFonts w:ascii="Arial Narrow" w:hAnsi="Arial Narrow" w:cs="Times New Roman"/>
                <w:b/>
                <w:sz w:val="20"/>
                <w:szCs w:val="20"/>
              </w:rPr>
            </w:pPr>
            <w:r w:rsidRPr="00D20A5F">
              <w:rPr>
                <w:rFonts w:ascii="Arial Narrow" w:hAnsi="Arial Narrow" w:cs="Times New Roman"/>
                <w:b/>
                <w:sz w:val="20"/>
                <w:szCs w:val="20"/>
              </w:rPr>
              <w:t>Strengths</w:t>
            </w:r>
          </w:p>
        </w:tc>
        <w:tc>
          <w:tcPr>
            <w:tcW w:w="4675" w:type="dxa"/>
            <w:shd w:val="clear" w:color="auto" w:fill="92D050"/>
          </w:tcPr>
          <w:p w:rsidR="0034287F" w:rsidRPr="00D20A5F" w:rsidRDefault="0034287F" w:rsidP="001A2C41">
            <w:pPr>
              <w:rPr>
                <w:rFonts w:ascii="Arial Narrow" w:hAnsi="Arial Narrow" w:cs="Times New Roman"/>
                <w:b/>
                <w:sz w:val="20"/>
                <w:szCs w:val="20"/>
              </w:rPr>
            </w:pPr>
            <w:r w:rsidRPr="00D20A5F">
              <w:rPr>
                <w:rFonts w:ascii="Arial Narrow" w:hAnsi="Arial Narrow" w:cs="Times New Roman"/>
                <w:b/>
                <w:sz w:val="20"/>
                <w:szCs w:val="20"/>
              </w:rPr>
              <w:t xml:space="preserve">Weaknesses </w:t>
            </w:r>
          </w:p>
        </w:tc>
      </w:tr>
      <w:tr w:rsidR="0034287F" w:rsidRPr="00D20A5F" w:rsidTr="0066750D">
        <w:trPr>
          <w:jc w:val="center"/>
        </w:trPr>
        <w:tc>
          <w:tcPr>
            <w:tcW w:w="4675" w:type="dxa"/>
          </w:tcPr>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expertise &amp; diversity of experience</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&amp; staff willingness</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connections with community</w:t>
            </w:r>
          </w:p>
          <w:p w:rsidR="0060767B" w:rsidRPr="00D20A5F" w:rsidRDefault="0060767B"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Ability to adapt programming to meeting local community and corporation needs</w:t>
            </w:r>
          </w:p>
          <w:p w:rsidR="0060767B" w:rsidRPr="00D20A5F" w:rsidRDefault="0060767B"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Statewide relationships and experience</w:t>
            </w:r>
          </w:p>
          <w:p w:rsidR="009C3C5C"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CPE programming successfully delivered through some units already</w:t>
            </w:r>
          </w:p>
          <w:p w:rsidR="009C3C5C"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CPE positively received</w:t>
            </w:r>
          </w:p>
          <w:p w:rsidR="007D5076" w:rsidRPr="00D20A5F" w:rsidRDefault="007D5076"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Pockets of proven revenue generation</w:t>
            </w:r>
          </w:p>
        </w:tc>
        <w:tc>
          <w:tcPr>
            <w:tcW w:w="4675" w:type="dxa"/>
          </w:tcPr>
          <w:p w:rsidR="009C3C5C"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delivery inconsistent</w:t>
            </w:r>
          </w:p>
          <w:p w:rsidR="0034287F"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w</w:t>
            </w:r>
            <w:r w:rsidR="0034287F" w:rsidRPr="00D20A5F">
              <w:rPr>
                <w:rFonts w:ascii="Arial Narrow" w:hAnsi="Arial Narrow" w:cs="Times New Roman"/>
                <w:sz w:val="20"/>
                <w:szCs w:val="20"/>
              </w:rPr>
              <w:t xml:space="preserve">orkload </w:t>
            </w:r>
            <w:r w:rsidR="0060767B" w:rsidRPr="00D20A5F">
              <w:rPr>
                <w:rFonts w:ascii="Arial Narrow" w:hAnsi="Arial Narrow" w:cs="Times New Roman"/>
                <w:sz w:val="20"/>
                <w:szCs w:val="20"/>
              </w:rPr>
              <w:t>contracts constrain engagements</w:t>
            </w:r>
          </w:p>
          <w:p w:rsidR="0034287F" w:rsidRPr="00D20A5F" w:rsidRDefault="0060767B"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Faculty can be hard to engage to deliver the specific needs of clients</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Institutional support &amp; coordination</w:t>
            </w:r>
            <w:r w:rsidR="0060767B" w:rsidRPr="00D20A5F">
              <w:rPr>
                <w:rFonts w:ascii="Arial Narrow" w:hAnsi="Arial Narrow" w:cs="Times New Roman"/>
                <w:sz w:val="20"/>
                <w:szCs w:val="20"/>
              </w:rPr>
              <w:t xml:space="preserve"> – culture unsupportive of entrepreneurial units</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Decentralized structure / ad hoc system</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Inconsistent communication</w:t>
            </w:r>
            <w:r w:rsidR="009C3C5C" w:rsidRPr="00D20A5F">
              <w:rPr>
                <w:rFonts w:ascii="Arial Narrow" w:hAnsi="Arial Narrow" w:cs="Times New Roman"/>
                <w:sz w:val="20"/>
                <w:szCs w:val="20"/>
              </w:rPr>
              <w:t>s</w:t>
            </w:r>
            <w:r w:rsidR="0060767B" w:rsidRPr="00D20A5F">
              <w:rPr>
                <w:rFonts w:ascii="Arial Narrow" w:hAnsi="Arial Narrow" w:cs="Times New Roman"/>
                <w:sz w:val="20"/>
                <w:szCs w:val="20"/>
              </w:rPr>
              <w:t xml:space="preserve"> with clients</w:t>
            </w:r>
          </w:p>
          <w:p w:rsidR="0034287F" w:rsidRPr="00D20A5F" w:rsidRDefault="0034287F"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 xml:space="preserve">Inconsistent </w:t>
            </w:r>
            <w:r w:rsidR="009C3C5C" w:rsidRPr="00D20A5F">
              <w:rPr>
                <w:rFonts w:ascii="Arial Narrow" w:hAnsi="Arial Narrow" w:cs="Times New Roman"/>
                <w:sz w:val="20"/>
                <w:szCs w:val="20"/>
              </w:rPr>
              <w:t>public image</w:t>
            </w:r>
          </w:p>
          <w:p w:rsidR="0060767B"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 xml:space="preserve">Weak </w:t>
            </w:r>
            <w:r w:rsidR="007D5076" w:rsidRPr="00D20A5F">
              <w:rPr>
                <w:rFonts w:ascii="Arial Narrow" w:hAnsi="Arial Narrow" w:cs="Times New Roman"/>
                <w:sz w:val="20"/>
                <w:szCs w:val="20"/>
              </w:rPr>
              <w:t xml:space="preserve">to non-existent </w:t>
            </w:r>
            <w:r w:rsidRPr="00D20A5F">
              <w:rPr>
                <w:rFonts w:ascii="Arial Narrow" w:hAnsi="Arial Narrow" w:cs="Times New Roman"/>
                <w:sz w:val="20"/>
                <w:szCs w:val="20"/>
              </w:rPr>
              <w:t>brand</w:t>
            </w:r>
          </w:p>
          <w:p w:rsidR="007D5076" w:rsidRPr="00D20A5F" w:rsidRDefault="0060767B"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 xml:space="preserve">Marketing </w:t>
            </w:r>
            <w:r w:rsidR="007D5076" w:rsidRPr="00D20A5F">
              <w:rPr>
                <w:rFonts w:ascii="Arial Narrow" w:hAnsi="Arial Narrow" w:cs="Times New Roman"/>
                <w:sz w:val="20"/>
                <w:szCs w:val="20"/>
              </w:rPr>
              <w:t xml:space="preserve">extremely limited </w:t>
            </w:r>
            <w:r w:rsidRPr="00D20A5F">
              <w:rPr>
                <w:rFonts w:ascii="Arial Narrow" w:hAnsi="Arial Narrow" w:cs="Times New Roman"/>
                <w:sz w:val="20"/>
                <w:szCs w:val="20"/>
              </w:rPr>
              <w:t>untargeted</w:t>
            </w:r>
          </w:p>
          <w:p w:rsidR="009C3C5C" w:rsidRPr="00D20A5F" w:rsidRDefault="007D5076"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 xml:space="preserve">Limited </w:t>
            </w:r>
            <w:r w:rsidR="009C3C5C" w:rsidRPr="00D20A5F">
              <w:rPr>
                <w:rFonts w:ascii="Arial Narrow" w:hAnsi="Arial Narrow" w:cs="Times New Roman"/>
                <w:sz w:val="20"/>
                <w:szCs w:val="20"/>
              </w:rPr>
              <w:t>external reach and enrollments</w:t>
            </w:r>
          </w:p>
          <w:p w:rsidR="009C3C5C" w:rsidRPr="00D20A5F" w:rsidRDefault="009C3C5C" w:rsidP="0034287F">
            <w:pPr>
              <w:pStyle w:val="ListParagraph"/>
              <w:numPr>
                <w:ilvl w:val="0"/>
                <w:numId w:val="3"/>
              </w:numPr>
              <w:rPr>
                <w:rFonts w:ascii="Arial Narrow" w:hAnsi="Arial Narrow" w:cs="Times New Roman"/>
                <w:sz w:val="20"/>
                <w:szCs w:val="20"/>
              </w:rPr>
            </w:pPr>
            <w:r w:rsidRPr="00D20A5F">
              <w:rPr>
                <w:rFonts w:ascii="Arial Narrow" w:hAnsi="Arial Narrow" w:cs="Times New Roman"/>
                <w:sz w:val="20"/>
                <w:szCs w:val="20"/>
              </w:rPr>
              <w:t>Facility costs contribute to lacking feasibility</w:t>
            </w:r>
          </w:p>
        </w:tc>
      </w:tr>
      <w:tr w:rsidR="0034287F" w:rsidRPr="00D20A5F" w:rsidTr="0066750D">
        <w:trPr>
          <w:jc w:val="center"/>
        </w:trPr>
        <w:tc>
          <w:tcPr>
            <w:tcW w:w="9350" w:type="dxa"/>
            <w:gridSpan w:val="2"/>
          </w:tcPr>
          <w:p w:rsidR="0034287F" w:rsidRPr="00D20A5F" w:rsidRDefault="0034287F" w:rsidP="001A2C41">
            <w:pPr>
              <w:jc w:val="center"/>
              <w:rPr>
                <w:rFonts w:ascii="Arial Narrow" w:hAnsi="Arial Narrow" w:cs="Times New Roman"/>
                <w:b/>
                <w:sz w:val="20"/>
                <w:szCs w:val="20"/>
              </w:rPr>
            </w:pPr>
            <w:r w:rsidRPr="00D20A5F">
              <w:rPr>
                <w:rFonts w:ascii="Arial Narrow" w:hAnsi="Arial Narrow" w:cs="Times New Roman"/>
                <w:b/>
                <w:sz w:val="20"/>
                <w:szCs w:val="20"/>
              </w:rPr>
              <w:t>External Factors</w:t>
            </w:r>
          </w:p>
        </w:tc>
      </w:tr>
      <w:tr w:rsidR="0034287F" w:rsidRPr="00D20A5F" w:rsidTr="0066750D">
        <w:trPr>
          <w:jc w:val="center"/>
        </w:trPr>
        <w:tc>
          <w:tcPr>
            <w:tcW w:w="4675" w:type="dxa"/>
            <w:shd w:val="clear" w:color="auto" w:fill="FF0000"/>
          </w:tcPr>
          <w:p w:rsidR="0034287F" w:rsidRPr="00D20A5F" w:rsidRDefault="0034287F" w:rsidP="001A2C41">
            <w:pPr>
              <w:rPr>
                <w:rFonts w:ascii="Arial Narrow" w:hAnsi="Arial Narrow" w:cs="Times New Roman"/>
                <w:b/>
                <w:sz w:val="20"/>
                <w:szCs w:val="20"/>
              </w:rPr>
            </w:pPr>
            <w:r w:rsidRPr="00D20A5F">
              <w:rPr>
                <w:rFonts w:ascii="Arial Narrow" w:hAnsi="Arial Narrow" w:cs="Times New Roman"/>
                <w:b/>
                <w:sz w:val="20"/>
                <w:szCs w:val="20"/>
              </w:rPr>
              <w:t>Opportunities</w:t>
            </w:r>
          </w:p>
        </w:tc>
        <w:tc>
          <w:tcPr>
            <w:tcW w:w="4675" w:type="dxa"/>
            <w:shd w:val="clear" w:color="auto" w:fill="00B0F0"/>
          </w:tcPr>
          <w:p w:rsidR="0034287F" w:rsidRPr="00D20A5F" w:rsidRDefault="0034287F" w:rsidP="001A2C41">
            <w:pPr>
              <w:rPr>
                <w:rFonts w:ascii="Arial Narrow" w:hAnsi="Arial Narrow" w:cs="Times New Roman"/>
                <w:b/>
                <w:sz w:val="20"/>
                <w:szCs w:val="20"/>
              </w:rPr>
            </w:pPr>
            <w:r w:rsidRPr="00D20A5F">
              <w:rPr>
                <w:rFonts w:ascii="Arial Narrow" w:hAnsi="Arial Narrow" w:cs="Times New Roman"/>
                <w:b/>
                <w:sz w:val="20"/>
                <w:szCs w:val="20"/>
              </w:rPr>
              <w:t>Threats</w:t>
            </w:r>
          </w:p>
        </w:tc>
      </w:tr>
      <w:tr w:rsidR="0034287F" w:rsidRPr="00D20A5F" w:rsidTr="0066750D">
        <w:trPr>
          <w:jc w:val="center"/>
        </w:trPr>
        <w:tc>
          <w:tcPr>
            <w:tcW w:w="4675" w:type="dxa"/>
          </w:tcPr>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 xml:space="preserve">Community </w:t>
            </w:r>
            <w:r w:rsidR="0060767B" w:rsidRPr="00D20A5F">
              <w:rPr>
                <w:rFonts w:ascii="Arial Narrow" w:hAnsi="Arial Narrow" w:cs="Times New Roman"/>
                <w:sz w:val="20"/>
                <w:szCs w:val="20"/>
              </w:rPr>
              <w:t xml:space="preserve">and corporate level </w:t>
            </w:r>
            <w:r w:rsidRPr="00D20A5F">
              <w:rPr>
                <w:rFonts w:ascii="Arial Narrow" w:hAnsi="Arial Narrow" w:cs="Times New Roman"/>
                <w:sz w:val="20"/>
                <w:szCs w:val="20"/>
              </w:rPr>
              <w:t>demand</w:t>
            </w:r>
            <w:r w:rsidR="0060767B" w:rsidRPr="00D20A5F">
              <w:rPr>
                <w:rFonts w:ascii="Arial Narrow" w:hAnsi="Arial Narrow" w:cs="Times New Roman"/>
                <w:sz w:val="20"/>
                <w:szCs w:val="20"/>
              </w:rPr>
              <w:t xml:space="preserve"> increased as budgets have tightened across Alaska</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Professional development &amp; training</w:t>
            </w:r>
            <w:r w:rsidR="009C3C5C" w:rsidRPr="00D20A5F">
              <w:rPr>
                <w:rFonts w:ascii="Arial Narrow" w:hAnsi="Arial Narrow" w:cs="Times New Roman"/>
                <w:sz w:val="20"/>
                <w:szCs w:val="20"/>
              </w:rPr>
              <w:t xml:space="preserve"> – life-long learning </w:t>
            </w:r>
            <w:r w:rsidR="0060767B" w:rsidRPr="00D20A5F">
              <w:rPr>
                <w:rFonts w:ascii="Arial Narrow" w:hAnsi="Arial Narrow" w:cs="Times New Roman"/>
                <w:sz w:val="20"/>
                <w:szCs w:val="20"/>
              </w:rPr>
              <w:t>d</w:t>
            </w:r>
            <w:r w:rsidR="00F47CF5" w:rsidRPr="00D20A5F">
              <w:rPr>
                <w:rFonts w:ascii="Arial Narrow" w:hAnsi="Arial Narrow" w:cs="Times New Roman"/>
                <w:sz w:val="20"/>
                <w:szCs w:val="20"/>
              </w:rPr>
              <w:t>emand</w:t>
            </w:r>
            <w:r w:rsidR="0060767B" w:rsidRPr="00D20A5F">
              <w:rPr>
                <w:rFonts w:ascii="Arial Narrow" w:hAnsi="Arial Narrow" w:cs="Times New Roman"/>
                <w:sz w:val="20"/>
                <w:szCs w:val="20"/>
              </w:rPr>
              <w:t xml:space="preserve"> growing</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Some external funding &amp; support</w:t>
            </w:r>
            <w:r w:rsidR="0060767B" w:rsidRPr="00D20A5F">
              <w:rPr>
                <w:rFonts w:ascii="Arial Narrow" w:hAnsi="Arial Narrow" w:cs="Times New Roman"/>
                <w:sz w:val="20"/>
                <w:szCs w:val="20"/>
              </w:rPr>
              <w:t xml:space="preserve"> – proof that external funds can be leveraged</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 xml:space="preserve">Visibility &amp; opportunity </w:t>
            </w:r>
            <w:r w:rsidR="0060767B" w:rsidRPr="00D20A5F">
              <w:rPr>
                <w:rFonts w:ascii="Arial Narrow" w:hAnsi="Arial Narrow" w:cs="Times New Roman"/>
                <w:sz w:val="20"/>
                <w:szCs w:val="20"/>
              </w:rPr>
              <w:t>to serve Alaska – not just the Southcentral region</w:t>
            </w:r>
          </w:p>
          <w:p w:rsidR="00D20A5F" w:rsidRDefault="00D20A5F" w:rsidP="0034287F">
            <w:pPr>
              <w:pStyle w:val="ListParagraph"/>
              <w:numPr>
                <w:ilvl w:val="0"/>
                <w:numId w:val="5"/>
              </w:numPr>
              <w:rPr>
                <w:rFonts w:ascii="Arial Narrow" w:hAnsi="Arial Narrow" w:cs="Times New Roman"/>
                <w:sz w:val="20"/>
                <w:szCs w:val="20"/>
              </w:rPr>
            </w:pPr>
            <w:r>
              <w:rPr>
                <w:rFonts w:ascii="Arial Narrow" w:hAnsi="Arial Narrow" w:cs="Times New Roman"/>
                <w:sz w:val="20"/>
                <w:szCs w:val="20"/>
              </w:rPr>
              <w:t>Employers are increasingly using professional development as an employee retention strategy</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Recruiting</w:t>
            </w:r>
            <w:r w:rsidR="00927869" w:rsidRPr="00D20A5F">
              <w:rPr>
                <w:rFonts w:ascii="Arial Narrow" w:hAnsi="Arial Narrow" w:cs="Times New Roman"/>
                <w:sz w:val="20"/>
                <w:szCs w:val="20"/>
              </w:rPr>
              <w:t xml:space="preserve"> external faculty </w:t>
            </w:r>
            <w:r w:rsidR="0060767B" w:rsidRPr="00D20A5F">
              <w:rPr>
                <w:rFonts w:ascii="Arial Narrow" w:hAnsi="Arial Narrow" w:cs="Times New Roman"/>
                <w:sz w:val="20"/>
                <w:szCs w:val="20"/>
              </w:rPr>
              <w:t>streamlined and offers wider bench than solely UAA faculty</w:t>
            </w:r>
          </w:p>
          <w:p w:rsidR="0060767B" w:rsidRPr="00D20A5F" w:rsidRDefault="0060767B"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Specific client target areas potential</w:t>
            </w:r>
          </w:p>
          <w:p w:rsidR="00F47CF5" w:rsidRPr="00D20A5F" w:rsidRDefault="00F47CF5"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Professional licensure – real estate, engineering, planning, contractor</w:t>
            </w:r>
          </w:p>
          <w:p w:rsidR="00F47CF5" w:rsidRPr="00D20A5F" w:rsidRDefault="00F47CF5"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UA leadership and supervisor training</w:t>
            </w:r>
          </w:p>
          <w:p w:rsidR="0034287F" w:rsidRPr="00D20A5F" w:rsidRDefault="0034287F"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 xml:space="preserve">ASD </w:t>
            </w:r>
            <w:r w:rsidR="00F47CF5" w:rsidRPr="00D20A5F">
              <w:rPr>
                <w:rFonts w:ascii="Arial Narrow" w:hAnsi="Arial Narrow" w:cs="Times New Roman"/>
                <w:sz w:val="20"/>
                <w:szCs w:val="20"/>
              </w:rPr>
              <w:t xml:space="preserve">leadership and supervisor </w:t>
            </w:r>
            <w:r w:rsidRPr="00D20A5F">
              <w:rPr>
                <w:rFonts w:ascii="Arial Narrow" w:hAnsi="Arial Narrow" w:cs="Times New Roman"/>
                <w:sz w:val="20"/>
                <w:szCs w:val="20"/>
              </w:rPr>
              <w:t>training</w:t>
            </w:r>
          </w:p>
          <w:p w:rsidR="0060767B" w:rsidRPr="00D20A5F" w:rsidRDefault="0060767B"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Veteran transitional training</w:t>
            </w:r>
          </w:p>
          <w:p w:rsidR="0034287F" w:rsidRPr="00D20A5F" w:rsidRDefault="0034287F"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International training</w:t>
            </w:r>
            <w:r w:rsidR="0060767B" w:rsidRPr="00D20A5F">
              <w:rPr>
                <w:rFonts w:ascii="Arial Narrow" w:hAnsi="Arial Narrow" w:cs="Times New Roman"/>
                <w:sz w:val="20"/>
                <w:szCs w:val="20"/>
              </w:rPr>
              <w:t xml:space="preserve"> - China</w:t>
            </w:r>
          </w:p>
          <w:p w:rsidR="0034287F" w:rsidRPr="00D20A5F" w:rsidRDefault="0034287F" w:rsidP="0060767B">
            <w:pPr>
              <w:pStyle w:val="ListParagraph"/>
              <w:numPr>
                <w:ilvl w:val="1"/>
                <w:numId w:val="5"/>
              </w:numPr>
              <w:rPr>
                <w:rFonts w:ascii="Arial Narrow" w:hAnsi="Arial Narrow" w:cs="Times New Roman"/>
                <w:sz w:val="20"/>
                <w:szCs w:val="20"/>
              </w:rPr>
            </w:pPr>
            <w:r w:rsidRPr="00D20A5F">
              <w:rPr>
                <w:rFonts w:ascii="Arial Narrow" w:hAnsi="Arial Narrow" w:cs="Times New Roman"/>
                <w:sz w:val="20"/>
                <w:szCs w:val="20"/>
              </w:rPr>
              <w:t xml:space="preserve">Summer Bridge </w:t>
            </w:r>
            <w:r w:rsidR="0060767B" w:rsidRPr="00D20A5F">
              <w:rPr>
                <w:rFonts w:ascii="Arial Narrow" w:hAnsi="Arial Narrow" w:cs="Times New Roman"/>
                <w:sz w:val="20"/>
                <w:szCs w:val="20"/>
              </w:rPr>
              <w:t>– onboarding students</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Micro</w:t>
            </w:r>
            <w:r w:rsidR="00927869" w:rsidRPr="00D20A5F">
              <w:rPr>
                <w:rFonts w:ascii="Arial Narrow" w:hAnsi="Arial Narrow" w:cs="Times New Roman"/>
                <w:sz w:val="20"/>
                <w:szCs w:val="20"/>
              </w:rPr>
              <w:t>-</w:t>
            </w:r>
            <w:r w:rsidRPr="00D20A5F">
              <w:rPr>
                <w:rFonts w:ascii="Arial Narrow" w:hAnsi="Arial Narrow" w:cs="Times New Roman"/>
                <w:sz w:val="20"/>
                <w:szCs w:val="20"/>
              </w:rPr>
              <w:t>credentialing / badging / stacked credentials</w:t>
            </w:r>
          </w:p>
          <w:p w:rsidR="0034287F" w:rsidRPr="00D20A5F" w:rsidRDefault="0034287F" w:rsidP="0034287F">
            <w:pPr>
              <w:pStyle w:val="ListParagraph"/>
              <w:numPr>
                <w:ilvl w:val="0"/>
                <w:numId w:val="5"/>
              </w:numPr>
              <w:rPr>
                <w:rFonts w:ascii="Arial Narrow" w:hAnsi="Arial Narrow" w:cs="Times New Roman"/>
                <w:sz w:val="20"/>
                <w:szCs w:val="20"/>
              </w:rPr>
            </w:pPr>
            <w:r w:rsidRPr="00D20A5F">
              <w:rPr>
                <w:rFonts w:ascii="Arial Narrow" w:hAnsi="Arial Narrow" w:cs="Times New Roman"/>
                <w:sz w:val="20"/>
                <w:szCs w:val="20"/>
              </w:rPr>
              <w:t>Take it to them rather than just offer it here</w:t>
            </w:r>
            <w:r w:rsidR="00927869" w:rsidRPr="00D20A5F">
              <w:rPr>
                <w:rFonts w:ascii="Arial Narrow" w:hAnsi="Arial Narrow" w:cs="Times New Roman"/>
                <w:sz w:val="20"/>
                <w:szCs w:val="20"/>
              </w:rPr>
              <w:t xml:space="preserve"> – many corporations want to establish a “corporate university” leveraging UAA/Alaska talent.</w:t>
            </w:r>
          </w:p>
        </w:tc>
        <w:tc>
          <w:tcPr>
            <w:tcW w:w="4675" w:type="dxa"/>
          </w:tcPr>
          <w:p w:rsidR="006F21BB" w:rsidRPr="00D20A5F" w:rsidRDefault="006F21BB"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Lacking UAA vision for CPE</w:t>
            </w:r>
          </w:p>
          <w:p w:rsidR="0060767B" w:rsidRPr="00D20A5F" w:rsidRDefault="0060767B"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Decline in UA budgets, investment to support centralized transition might not occur</w:t>
            </w:r>
          </w:p>
          <w:p w:rsidR="007D5076" w:rsidRDefault="007D5076"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Competition is fierce</w:t>
            </w:r>
            <w:r w:rsidR="0060767B" w:rsidRPr="00D20A5F">
              <w:rPr>
                <w:rFonts w:ascii="Arial Narrow" w:hAnsi="Arial Narrow" w:cs="Times New Roman"/>
                <w:sz w:val="20"/>
                <w:szCs w:val="20"/>
              </w:rPr>
              <w:t xml:space="preserve"> – external U’s marketing heavily in our marketplace</w:t>
            </w:r>
          </w:p>
          <w:p w:rsidR="007E5CDC" w:rsidRPr="00D20A5F" w:rsidRDefault="007E5CDC" w:rsidP="008313A5">
            <w:pPr>
              <w:pStyle w:val="ListParagraph"/>
              <w:numPr>
                <w:ilvl w:val="0"/>
                <w:numId w:val="4"/>
              </w:numPr>
              <w:rPr>
                <w:rFonts w:ascii="Arial Narrow" w:hAnsi="Arial Narrow" w:cs="Times New Roman"/>
                <w:sz w:val="20"/>
                <w:szCs w:val="20"/>
              </w:rPr>
            </w:pPr>
            <w:r>
              <w:rPr>
                <w:rFonts w:ascii="Arial Narrow" w:hAnsi="Arial Narrow" w:cs="Times New Roman"/>
                <w:sz w:val="20"/>
                <w:szCs w:val="20"/>
              </w:rPr>
              <w:t>UA website markets UAF and UAS non-credit continuing education but makes no mention of UAA course offerings</w:t>
            </w:r>
            <w:r w:rsidR="008313A5">
              <w:rPr>
                <w:rFonts w:ascii="Arial Narrow" w:hAnsi="Arial Narrow" w:cs="Times New Roman"/>
                <w:sz w:val="20"/>
                <w:szCs w:val="20"/>
              </w:rPr>
              <w:t xml:space="preserve"> - </w:t>
            </w:r>
            <w:r w:rsidR="008313A5" w:rsidRPr="008313A5">
              <w:rPr>
                <w:rFonts w:ascii="Arial Narrow" w:hAnsi="Arial Narrow" w:cs="Times New Roman"/>
                <w:sz w:val="20"/>
                <w:szCs w:val="20"/>
              </w:rPr>
              <w:t>https://alaska.augusoft.net/</w:t>
            </w:r>
          </w:p>
          <w:p w:rsidR="00927869" w:rsidRPr="00D20A5F" w:rsidRDefault="00927869"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 xml:space="preserve">Other </w:t>
            </w:r>
            <w:r w:rsidR="0060767B" w:rsidRPr="00D20A5F">
              <w:rPr>
                <w:rFonts w:ascii="Arial Narrow" w:hAnsi="Arial Narrow" w:cs="Times New Roman"/>
                <w:sz w:val="20"/>
                <w:szCs w:val="20"/>
              </w:rPr>
              <w:t xml:space="preserve">U’s and </w:t>
            </w:r>
            <w:r w:rsidRPr="00D20A5F">
              <w:rPr>
                <w:rFonts w:ascii="Arial Narrow" w:hAnsi="Arial Narrow" w:cs="Times New Roman"/>
                <w:sz w:val="20"/>
                <w:szCs w:val="20"/>
              </w:rPr>
              <w:t>providers have a stronger brand recognition in the Alaska marketplace than UAA</w:t>
            </w:r>
          </w:p>
          <w:p w:rsidR="0034287F" w:rsidRPr="00D20A5F" w:rsidRDefault="0034287F"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UAA reputation</w:t>
            </w:r>
            <w:r w:rsidR="004F1856" w:rsidRPr="00D20A5F">
              <w:rPr>
                <w:rFonts w:ascii="Arial Narrow" w:hAnsi="Arial Narrow" w:cs="Times New Roman"/>
                <w:sz w:val="20"/>
                <w:szCs w:val="20"/>
              </w:rPr>
              <w:t xml:space="preserve"> </w:t>
            </w:r>
            <w:r w:rsidR="00927869" w:rsidRPr="00D20A5F">
              <w:rPr>
                <w:rFonts w:ascii="Arial Narrow" w:hAnsi="Arial Narrow" w:cs="Times New Roman"/>
                <w:sz w:val="20"/>
                <w:szCs w:val="20"/>
              </w:rPr>
              <w:t xml:space="preserve">– delivery inconsistent due to </w:t>
            </w:r>
            <w:r w:rsidR="004F1856" w:rsidRPr="00D20A5F">
              <w:rPr>
                <w:rFonts w:ascii="Arial Narrow" w:hAnsi="Arial Narrow" w:cs="Times New Roman"/>
                <w:sz w:val="20"/>
                <w:szCs w:val="20"/>
              </w:rPr>
              <w:t>ongoing shift relating to offerings</w:t>
            </w:r>
          </w:p>
          <w:p w:rsidR="007D5076" w:rsidRPr="00D20A5F" w:rsidRDefault="007D5076"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Perception that our offerings are less than high level</w:t>
            </w:r>
            <w:r w:rsidR="004F1856" w:rsidRPr="00D20A5F">
              <w:rPr>
                <w:rFonts w:ascii="Arial Narrow" w:hAnsi="Arial Narrow" w:cs="Times New Roman"/>
                <w:sz w:val="20"/>
                <w:szCs w:val="20"/>
              </w:rPr>
              <w:t xml:space="preserve"> – since that UAA delivers only community college level courses</w:t>
            </w:r>
          </w:p>
          <w:p w:rsidR="0034287F" w:rsidRPr="00D20A5F" w:rsidRDefault="0034287F"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Lost revenue</w:t>
            </w:r>
            <w:r w:rsidR="006F21BB" w:rsidRPr="00D20A5F">
              <w:rPr>
                <w:rFonts w:ascii="Arial Narrow" w:hAnsi="Arial Narrow" w:cs="Times New Roman"/>
                <w:sz w:val="20"/>
                <w:szCs w:val="20"/>
              </w:rPr>
              <w:t>s</w:t>
            </w:r>
            <w:r w:rsidR="004F1856" w:rsidRPr="00D20A5F">
              <w:rPr>
                <w:rFonts w:ascii="Arial Narrow" w:hAnsi="Arial Narrow" w:cs="Times New Roman"/>
                <w:sz w:val="20"/>
                <w:szCs w:val="20"/>
              </w:rPr>
              <w:t xml:space="preserve"> – lacking systems</w:t>
            </w:r>
          </w:p>
          <w:p w:rsidR="0034287F" w:rsidRPr="00D20A5F" w:rsidRDefault="0034287F" w:rsidP="0034287F">
            <w:pPr>
              <w:pStyle w:val="ListParagraph"/>
              <w:numPr>
                <w:ilvl w:val="0"/>
                <w:numId w:val="4"/>
              </w:numPr>
              <w:rPr>
                <w:rFonts w:ascii="Arial Narrow" w:hAnsi="Arial Narrow" w:cs="Times New Roman"/>
                <w:sz w:val="20"/>
                <w:szCs w:val="20"/>
              </w:rPr>
            </w:pPr>
            <w:r w:rsidRPr="00D20A5F">
              <w:rPr>
                <w:rFonts w:ascii="Arial Narrow" w:hAnsi="Arial Narrow" w:cs="Times New Roman"/>
                <w:sz w:val="20"/>
                <w:szCs w:val="20"/>
              </w:rPr>
              <w:t>Lost opportunities</w:t>
            </w:r>
            <w:r w:rsidR="004F1856" w:rsidRPr="00D20A5F">
              <w:rPr>
                <w:rFonts w:ascii="Arial Narrow" w:hAnsi="Arial Narrow" w:cs="Times New Roman"/>
                <w:sz w:val="20"/>
                <w:szCs w:val="20"/>
              </w:rPr>
              <w:t xml:space="preserve"> – inability to mobilize timely</w:t>
            </w:r>
          </w:p>
        </w:tc>
      </w:tr>
    </w:tbl>
    <w:p w:rsidR="0034287F" w:rsidRPr="00D20A5F" w:rsidRDefault="0034287F" w:rsidP="00AB0A2F">
      <w:pPr>
        <w:pStyle w:val="NoSpacing"/>
        <w:rPr>
          <w:rFonts w:ascii="Arial Narrow" w:hAnsi="Arial Narrow"/>
        </w:rPr>
      </w:pPr>
    </w:p>
    <w:p w:rsidR="00D1220A" w:rsidRPr="00D20A5F" w:rsidRDefault="00D1220A" w:rsidP="00000141">
      <w:pPr>
        <w:autoSpaceDE w:val="0"/>
        <w:autoSpaceDN w:val="0"/>
        <w:adjustRightInd w:val="0"/>
        <w:spacing w:after="0" w:line="240" w:lineRule="auto"/>
        <w:rPr>
          <w:rFonts w:ascii="Arial Narrow" w:hAnsi="Arial Narrow" w:cs="Times New Roman"/>
          <w:sz w:val="24"/>
          <w:szCs w:val="24"/>
        </w:rPr>
      </w:pPr>
    </w:p>
    <w:p w:rsidR="00D1220A" w:rsidRPr="00D20A5F" w:rsidRDefault="006F7F47" w:rsidP="00000141">
      <w:pPr>
        <w:autoSpaceDE w:val="0"/>
        <w:autoSpaceDN w:val="0"/>
        <w:adjustRightInd w:val="0"/>
        <w:spacing w:after="0" w:line="240" w:lineRule="auto"/>
        <w:rPr>
          <w:rFonts w:ascii="Arial Narrow" w:hAnsi="Arial Narrow" w:cs="Times New Roman"/>
          <w:sz w:val="24"/>
          <w:szCs w:val="24"/>
        </w:rPr>
      </w:pPr>
      <w:r w:rsidRPr="00D20A5F">
        <w:rPr>
          <w:rFonts w:ascii="Arial Narrow" w:hAnsi="Arial Narrow" w:cs="Times New Roman"/>
          <w:b/>
          <w:sz w:val="24"/>
          <w:szCs w:val="24"/>
        </w:rPr>
        <w:t>Policies,</w:t>
      </w:r>
      <w:r w:rsidR="00AB0A2F" w:rsidRPr="00D20A5F">
        <w:rPr>
          <w:rFonts w:ascii="Arial Narrow" w:hAnsi="Arial Narrow" w:cs="Times New Roman"/>
          <w:b/>
          <w:sz w:val="24"/>
          <w:szCs w:val="24"/>
        </w:rPr>
        <w:t xml:space="preserve"> </w:t>
      </w:r>
      <w:r w:rsidR="00133654" w:rsidRPr="00D20A5F">
        <w:rPr>
          <w:rFonts w:ascii="Arial Narrow" w:hAnsi="Arial Narrow" w:cs="Times New Roman"/>
          <w:b/>
          <w:sz w:val="24"/>
          <w:szCs w:val="24"/>
        </w:rPr>
        <w:t>Practices and Procedures</w:t>
      </w:r>
      <w:r w:rsidR="00AB0A2F" w:rsidRPr="00D20A5F">
        <w:rPr>
          <w:rFonts w:ascii="Arial Narrow" w:hAnsi="Arial Narrow" w:cs="Times New Roman"/>
          <w:b/>
          <w:sz w:val="24"/>
          <w:szCs w:val="24"/>
        </w:rPr>
        <w:t xml:space="preserve">:  </w:t>
      </w:r>
      <w:r w:rsidR="00AB0A2F" w:rsidRPr="00D20A5F">
        <w:rPr>
          <w:rFonts w:ascii="Arial Narrow" w:hAnsi="Arial Narrow" w:cs="Times New Roman"/>
          <w:sz w:val="24"/>
          <w:szCs w:val="24"/>
        </w:rPr>
        <w:t>UAA currently has a non-credit/CEU registration system</w:t>
      </w:r>
      <w:r w:rsidR="00475903" w:rsidRPr="00D20A5F">
        <w:rPr>
          <w:rFonts w:ascii="Arial Narrow" w:hAnsi="Arial Narrow" w:cs="Times New Roman"/>
          <w:sz w:val="24"/>
          <w:szCs w:val="24"/>
        </w:rPr>
        <w:t xml:space="preserve"> (ASAP)</w:t>
      </w:r>
      <w:r w:rsidR="00AB0A2F" w:rsidRPr="00D20A5F">
        <w:rPr>
          <w:rFonts w:ascii="Arial Narrow" w:hAnsi="Arial Narrow" w:cs="Times New Roman"/>
          <w:sz w:val="24"/>
          <w:szCs w:val="24"/>
        </w:rPr>
        <w:t xml:space="preserve">, non-credit/CEU curriculum development process and form, inventory of offerings (IR), and guidelines </w:t>
      </w:r>
      <w:r w:rsidR="00475903" w:rsidRPr="00D20A5F">
        <w:rPr>
          <w:rFonts w:ascii="Arial Narrow" w:hAnsi="Arial Narrow" w:cs="Times New Roman"/>
          <w:sz w:val="24"/>
          <w:szCs w:val="24"/>
        </w:rPr>
        <w:t xml:space="preserve">for development of </w:t>
      </w:r>
      <w:r w:rsidR="00AB0A2F" w:rsidRPr="00D20A5F">
        <w:rPr>
          <w:rFonts w:ascii="Arial Narrow" w:hAnsi="Arial Narrow" w:cs="Times New Roman"/>
          <w:sz w:val="24"/>
          <w:szCs w:val="24"/>
        </w:rPr>
        <w:t>non-credit workforce credentials.  All resources are located on the UAA OAA Curriculum website.</w:t>
      </w:r>
      <w:r w:rsidR="009775E8" w:rsidRPr="00D20A5F">
        <w:rPr>
          <w:rFonts w:ascii="Arial Narrow" w:hAnsi="Arial Narrow" w:cs="Times New Roman"/>
          <w:sz w:val="24"/>
          <w:szCs w:val="24"/>
        </w:rPr>
        <w:t xml:space="preserve"> There is a perception that the </w:t>
      </w:r>
      <w:r w:rsidR="009775E8" w:rsidRPr="00D20A5F">
        <w:rPr>
          <w:rFonts w:ascii="Arial Narrow" w:hAnsi="Arial Narrow" w:cs="Times New Roman"/>
          <w:sz w:val="24"/>
          <w:szCs w:val="24"/>
        </w:rPr>
        <w:lastRenderedPageBreak/>
        <w:t xml:space="preserve">existing processes </w:t>
      </w:r>
      <w:r w:rsidR="007D5076" w:rsidRPr="00D20A5F">
        <w:rPr>
          <w:rFonts w:ascii="Arial Narrow" w:hAnsi="Arial Narrow" w:cs="Times New Roman"/>
          <w:sz w:val="24"/>
          <w:szCs w:val="24"/>
        </w:rPr>
        <w:t>would benefit greatly from streamlining and ensuring that all elements are essential</w:t>
      </w:r>
      <w:r w:rsidR="009775E8" w:rsidRPr="00D20A5F">
        <w:rPr>
          <w:rFonts w:ascii="Arial Narrow" w:hAnsi="Arial Narrow" w:cs="Times New Roman"/>
          <w:sz w:val="24"/>
          <w:szCs w:val="24"/>
        </w:rPr>
        <w:t>.</w:t>
      </w:r>
      <w:r w:rsidR="00475903" w:rsidRPr="00D20A5F">
        <w:rPr>
          <w:rFonts w:ascii="Arial Narrow" w:hAnsi="Arial Narrow" w:cs="Times New Roman"/>
          <w:sz w:val="24"/>
          <w:szCs w:val="24"/>
        </w:rPr>
        <w:t xml:space="preserve"> There is also </w:t>
      </w:r>
      <w:r w:rsidR="00256402" w:rsidRPr="00D20A5F">
        <w:rPr>
          <w:rFonts w:ascii="Arial Narrow" w:hAnsi="Arial Narrow" w:cs="Times New Roman"/>
          <w:sz w:val="24"/>
          <w:szCs w:val="24"/>
        </w:rPr>
        <w:t>broad</w:t>
      </w:r>
      <w:r w:rsidR="00475903" w:rsidRPr="00D20A5F">
        <w:rPr>
          <w:rFonts w:ascii="Arial Narrow" w:hAnsi="Arial Narrow" w:cs="Times New Roman"/>
          <w:sz w:val="24"/>
          <w:szCs w:val="24"/>
        </w:rPr>
        <w:t xml:space="preserve"> lack of recognition that policies and procedures exist, </w:t>
      </w:r>
      <w:r w:rsidR="007D5076" w:rsidRPr="00D20A5F">
        <w:rPr>
          <w:rFonts w:ascii="Arial Narrow" w:hAnsi="Arial Narrow" w:cs="Times New Roman"/>
          <w:sz w:val="24"/>
          <w:szCs w:val="24"/>
        </w:rPr>
        <w:t xml:space="preserve">given that various units follow different practices. </w:t>
      </w:r>
      <w:r w:rsidR="00256402" w:rsidRPr="00D20A5F">
        <w:rPr>
          <w:rFonts w:ascii="Arial Narrow" w:hAnsi="Arial Narrow" w:cs="Times New Roman"/>
          <w:sz w:val="24"/>
          <w:szCs w:val="24"/>
        </w:rPr>
        <w:t>Likewise, some courses, l</w:t>
      </w:r>
      <w:r w:rsidR="007D5076" w:rsidRPr="00D20A5F">
        <w:rPr>
          <w:rFonts w:ascii="Arial Narrow" w:hAnsi="Arial Narrow" w:cs="Times New Roman"/>
          <w:sz w:val="24"/>
          <w:szCs w:val="24"/>
        </w:rPr>
        <w:t xml:space="preserve">argely 500 level courses, run </w:t>
      </w:r>
      <w:r w:rsidR="00256402" w:rsidRPr="00D20A5F">
        <w:rPr>
          <w:rFonts w:ascii="Arial Narrow" w:hAnsi="Arial Narrow" w:cs="Times New Roman"/>
          <w:sz w:val="24"/>
          <w:szCs w:val="24"/>
        </w:rPr>
        <w:t xml:space="preserve">through banner in a process distinctly different </w:t>
      </w:r>
      <w:r w:rsidR="00D02EAA" w:rsidRPr="00D20A5F">
        <w:rPr>
          <w:rFonts w:ascii="Arial Narrow" w:hAnsi="Arial Narrow" w:cs="Times New Roman"/>
          <w:sz w:val="24"/>
          <w:szCs w:val="24"/>
        </w:rPr>
        <w:t>from</w:t>
      </w:r>
      <w:r w:rsidR="00256402" w:rsidRPr="00D20A5F">
        <w:rPr>
          <w:rFonts w:ascii="Arial Narrow" w:hAnsi="Arial Narrow" w:cs="Times New Roman"/>
          <w:sz w:val="24"/>
          <w:szCs w:val="24"/>
        </w:rPr>
        <w:t xml:space="preserve"> other non-credit courses</w:t>
      </w:r>
      <w:r w:rsidR="007D5076" w:rsidRPr="00D20A5F">
        <w:rPr>
          <w:rFonts w:ascii="Arial Narrow" w:hAnsi="Arial Narrow" w:cs="Times New Roman"/>
          <w:sz w:val="24"/>
          <w:szCs w:val="24"/>
        </w:rPr>
        <w:t xml:space="preserve">. </w:t>
      </w:r>
      <w:r w:rsidR="007E5CDC">
        <w:rPr>
          <w:rFonts w:ascii="Arial Narrow" w:hAnsi="Arial Narrow" w:cs="Times New Roman"/>
          <w:sz w:val="24"/>
          <w:szCs w:val="24"/>
        </w:rPr>
        <w:t>Of concern of the</w:t>
      </w:r>
      <w:r w:rsidR="00107CDF">
        <w:rPr>
          <w:rFonts w:ascii="Arial Narrow" w:hAnsi="Arial Narrow" w:cs="Times New Roman"/>
          <w:sz w:val="24"/>
          <w:szCs w:val="24"/>
        </w:rPr>
        <w:t xml:space="preserve"> academic units is that no system exists for sharing revenues derived from CPE offerings.</w:t>
      </w:r>
      <w:r w:rsidR="007E5CDC">
        <w:rPr>
          <w:rFonts w:ascii="Arial Narrow" w:hAnsi="Arial Narrow" w:cs="Times New Roman"/>
          <w:sz w:val="24"/>
          <w:szCs w:val="24"/>
        </w:rPr>
        <w:t xml:space="preserve"> </w:t>
      </w:r>
    </w:p>
    <w:p w:rsidR="002B1439" w:rsidRPr="00D20A5F" w:rsidRDefault="002B1439" w:rsidP="00000141">
      <w:pPr>
        <w:autoSpaceDE w:val="0"/>
        <w:autoSpaceDN w:val="0"/>
        <w:adjustRightInd w:val="0"/>
        <w:spacing w:after="0" w:line="240" w:lineRule="auto"/>
        <w:rPr>
          <w:rFonts w:ascii="Arial Narrow" w:hAnsi="Arial Narrow" w:cs="Times New Roman"/>
          <w:sz w:val="24"/>
          <w:szCs w:val="24"/>
        </w:rPr>
      </w:pPr>
    </w:p>
    <w:p w:rsidR="002B1439" w:rsidRPr="00D20A5F" w:rsidRDefault="002B1439" w:rsidP="00000141">
      <w:pPr>
        <w:autoSpaceDE w:val="0"/>
        <w:autoSpaceDN w:val="0"/>
        <w:adjustRightInd w:val="0"/>
        <w:spacing w:after="0" w:line="240" w:lineRule="auto"/>
        <w:rPr>
          <w:rFonts w:ascii="Arial Narrow" w:hAnsi="Arial Narrow" w:cs="Times New Roman"/>
          <w:sz w:val="24"/>
          <w:szCs w:val="24"/>
        </w:rPr>
      </w:pPr>
      <w:r w:rsidRPr="00D20A5F">
        <w:rPr>
          <w:rFonts w:ascii="Arial Narrow" w:hAnsi="Arial Narrow" w:cs="Times New Roman"/>
          <w:b/>
          <w:sz w:val="24"/>
          <w:szCs w:val="24"/>
        </w:rPr>
        <w:t xml:space="preserve">Productivity Measures:  </w:t>
      </w:r>
      <w:r w:rsidRPr="00D20A5F">
        <w:rPr>
          <w:rFonts w:ascii="Arial Narrow" w:hAnsi="Arial Narrow" w:cs="Times New Roman"/>
          <w:sz w:val="24"/>
          <w:szCs w:val="24"/>
        </w:rPr>
        <w:t xml:space="preserve">Most UAA colleges and community campuses currently track CPE productivity </w:t>
      </w:r>
      <w:r w:rsidR="0088398A" w:rsidRPr="00D20A5F">
        <w:rPr>
          <w:rFonts w:ascii="Arial Narrow" w:hAnsi="Arial Narrow" w:cs="Times New Roman"/>
          <w:sz w:val="24"/>
          <w:szCs w:val="24"/>
        </w:rPr>
        <w:t xml:space="preserve">in one or more of the following ways: </w:t>
      </w:r>
      <w:r w:rsidRPr="00D20A5F">
        <w:rPr>
          <w:rFonts w:ascii="Arial Narrow" w:hAnsi="Arial Narrow" w:cs="Times New Roman"/>
          <w:sz w:val="24"/>
          <w:szCs w:val="24"/>
        </w:rPr>
        <w:t xml:space="preserve">enrollments, revenue (break even or profit), student success based on </w:t>
      </w:r>
      <w:r w:rsidR="0088398A" w:rsidRPr="00D20A5F">
        <w:rPr>
          <w:rFonts w:ascii="Arial Narrow" w:hAnsi="Arial Narrow" w:cs="Times New Roman"/>
          <w:sz w:val="24"/>
          <w:szCs w:val="24"/>
        </w:rPr>
        <w:t>CEUs awarded for re-licensure, number of underserved (primarily rural) individuals served, student satisfaction surveys, and number of classes offered versus number cancelled.</w:t>
      </w:r>
    </w:p>
    <w:p w:rsidR="004F1856" w:rsidRPr="00D20A5F" w:rsidRDefault="00F43A46" w:rsidP="00F43A46">
      <w:pPr>
        <w:autoSpaceDE w:val="0"/>
        <w:autoSpaceDN w:val="0"/>
        <w:adjustRightInd w:val="0"/>
        <w:spacing w:after="0" w:line="240" w:lineRule="auto"/>
        <w:rPr>
          <w:rFonts w:ascii="Arial Narrow" w:hAnsi="Arial Narrow" w:cs="Times New Roman"/>
          <w:b/>
          <w:sz w:val="32"/>
          <w:szCs w:val="32"/>
        </w:rPr>
      </w:pPr>
      <w:r w:rsidRPr="00D20A5F">
        <w:rPr>
          <w:rFonts w:ascii="Arial Narrow" w:hAnsi="Arial Narrow" w:cs="Times New Roman"/>
          <w:sz w:val="24"/>
          <w:szCs w:val="24"/>
        </w:rPr>
        <w:t xml:space="preserve"> </w:t>
      </w:r>
    </w:p>
    <w:p w:rsidR="00D20A5F" w:rsidRDefault="006F7F47" w:rsidP="00D20A5F">
      <w:pPr>
        <w:spacing w:after="0" w:line="360" w:lineRule="auto"/>
        <w:rPr>
          <w:rFonts w:ascii="Arial Narrow" w:hAnsi="Arial Narrow" w:cs="Times New Roman"/>
          <w:b/>
          <w:sz w:val="32"/>
          <w:szCs w:val="32"/>
        </w:rPr>
      </w:pPr>
      <w:r w:rsidRPr="00D20A5F">
        <w:rPr>
          <w:rFonts w:ascii="Arial Narrow" w:hAnsi="Arial Narrow" w:cs="Times New Roman"/>
          <w:b/>
          <w:sz w:val="32"/>
          <w:szCs w:val="32"/>
        </w:rPr>
        <w:t>Desired Future State</w:t>
      </w:r>
      <w:r w:rsidR="0034287F" w:rsidRPr="00D20A5F">
        <w:rPr>
          <w:rFonts w:ascii="Arial Narrow" w:hAnsi="Arial Narrow" w:cs="Times New Roman"/>
          <w:b/>
          <w:sz w:val="32"/>
          <w:szCs w:val="32"/>
        </w:rPr>
        <w:t xml:space="preserve"> Recommendations</w:t>
      </w:r>
    </w:p>
    <w:p w:rsidR="002B1439" w:rsidRPr="00D20A5F" w:rsidRDefault="00D20A5F" w:rsidP="00D20A5F">
      <w:pPr>
        <w:spacing w:after="0" w:line="240" w:lineRule="auto"/>
        <w:rPr>
          <w:rFonts w:ascii="Arial Narrow" w:hAnsi="Arial Narrow" w:cs="Times New Roman"/>
          <w:sz w:val="24"/>
          <w:szCs w:val="24"/>
        </w:rPr>
      </w:pPr>
      <w:r>
        <w:rPr>
          <w:rFonts w:ascii="Arial Narrow" w:hAnsi="Arial Narrow" w:cs="Times New Roman"/>
          <w:sz w:val="24"/>
          <w:szCs w:val="24"/>
        </w:rPr>
        <w:t xml:space="preserve">The taskforce is in unanimous agreement, </w:t>
      </w:r>
      <w:r w:rsidR="00B51434">
        <w:rPr>
          <w:rFonts w:ascii="Arial Narrow" w:hAnsi="Arial Narrow" w:cs="Times New Roman"/>
          <w:sz w:val="24"/>
          <w:szCs w:val="24"/>
        </w:rPr>
        <w:t xml:space="preserve">adult </w:t>
      </w:r>
      <w:r>
        <w:rPr>
          <w:rFonts w:ascii="Arial Narrow" w:hAnsi="Arial Narrow" w:cs="Times New Roman"/>
          <w:sz w:val="24"/>
          <w:szCs w:val="24"/>
        </w:rPr>
        <w:t>working professionals need to continually update their knowledge, skills and abilities, and UAA is uniquely positioned to lead this charge for Alaska. B</w:t>
      </w:r>
      <w:r w:rsidR="0034287F" w:rsidRPr="00D20A5F">
        <w:rPr>
          <w:rFonts w:ascii="Arial Narrow" w:hAnsi="Arial Narrow" w:cs="Times New Roman"/>
          <w:sz w:val="24"/>
          <w:szCs w:val="24"/>
        </w:rPr>
        <w:t>ased on task force findings, this group recommends the following:</w:t>
      </w:r>
      <w:r w:rsidR="007A238C" w:rsidRPr="00D20A5F">
        <w:rPr>
          <w:rFonts w:ascii="Arial Narrow" w:hAnsi="Arial Narrow" w:cs="Times New Roman"/>
          <w:sz w:val="24"/>
          <w:szCs w:val="24"/>
        </w:rPr>
        <w:t xml:space="preserve"> (1) gather more information, (2) optimize resources to focus on </w:t>
      </w:r>
      <w:r w:rsidR="00851DD5" w:rsidRPr="00D20A5F">
        <w:rPr>
          <w:rFonts w:ascii="Arial Narrow" w:hAnsi="Arial Narrow" w:cs="Times New Roman"/>
          <w:sz w:val="24"/>
          <w:szCs w:val="24"/>
        </w:rPr>
        <w:t>strategic delivery</w:t>
      </w:r>
      <w:r w:rsidR="007A238C" w:rsidRPr="00D20A5F">
        <w:rPr>
          <w:rFonts w:ascii="Arial Narrow" w:hAnsi="Arial Narrow" w:cs="Times New Roman"/>
          <w:sz w:val="24"/>
          <w:szCs w:val="24"/>
        </w:rPr>
        <w:t xml:space="preserve">, (3) remove existing barriers, and (4) be responsive </w:t>
      </w:r>
      <w:r w:rsidR="00256402" w:rsidRPr="00D20A5F">
        <w:rPr>
          <w:rFonts w:ascii="Arial Narrow" w:hAnsi="Arial Narrow" w:cs="Times New Roman"/>
          <w:sz w:val="24"/>
          <w:szCs w:val="24"/>
        </w:rPr>
        <w:t>as well as focused on quality in the deployment</w:t>
      </w:r>
      <w:r w:rsidR="007A238C" w:rsidRPr="00D20A5F">
        <w:rPr>
          <w:rFonts w:ascii="Arial Narrow" w:hAnsi="Arial Narrow" w:cs="Times New Roman"/>
          <w:sz w:val="24"/>
          <w:szCs w:val="24"/>
        </w:rPr>
        <w:t xml:space="preserve"> of CPE programs.</w:t>
      </w:r>
    </w:p>
    <w:p w:rsidR="0034287F" w:rsidRPr="00D20A5F" w:rsidRDefault="0034287F" w:rsidP="00000141">
      <w:pPr>
        <w:autoSpaceDE w:val="0"/>
        <w:autoSpaceDN w:val="0"/>
        <w:adjustRightInd w:val="0"/>
        <w:spacing w:after="0" w:line="240" w:lineRule="auto"/>
        <w:rPr>
          <w:rFonts w:ascii="Arial Narrow" w:hAnsi="Arial Narrow" w:cs="Times New Roman"/>
          <w:sz w:val="24"/>
          <w:szCs w:val="24"/>
        </w:rPr>
      </w:pPr>
    </w:p>
    <w:p w:rsidR="0034287F" w:rsidRPr="00D20A5F" w:rsidRDefault="0034287F" w:rsidP="0034287F">
      <w:pPr>
        <w:spacing w:after="0"/>
        <w:rPr>
          <w:rFonts w:ascii="Arial Narrow" w:hAnsi="Arial Narrow" w:cs="Times New Roman"/>
          <w:b/>
          <w:i/>
          <w:sz w:val="24"/>
          <w:szCs w:val="24"/>
        </w:rPr>
      </w:pPr>
      <w:r w:rsidRPr="00D20A5F">
        <w:rPr>
          <w:rFonts w:ascii="Arial Narrow" w:hAnsi="Arial Narrow" w:cs="Times New Roman"/>
          <w:b/>
          <w:i/>
          <w:sz w:val="24"/>
          <w:szCs w:val="24"/>
        </w:rPr>
        <w:t>Gather more Information:</w:t>
      </w:r>
    </w:p>
    <w:p w:rsidR="0034287F" w:rsidRPr="00D20A5F" w:rsidRDefault="004F1856" w:rsidP="007A238C">
      <w:pPr>
        <w:spacing w:after="0"/>
        <w:rPr>
          <w:rFonts w:ascii="Arial Narrow" w:hAnsi="Arial Narrow" w:cs="Times New Roman"/>
          <w:sz w:val="24"/>
          <w:szCs w:val="24"/>
        </w:rPr>
      </w:pPr>
      <w:r w:rsidRPr="00D20A5F">
        <w:rPr>
          <w:rFonts w:ascii="Arial Narrow" w:hAnsi="Arial Narrow" w:cs="Times New Roman"/>
          <w:sz w:val="24"/>
          <w:szCs w:val="24"/>
        </w:rPr>
        <w:t xml:space="preserve">While we at UAA have </w:t>
      </w:r>
      <w:r w:rsidR="0034287F" w:rsidRPr="00D20A5F">
        <w:rPr>
          <w:rFonts w:ascii="Arial Narrow" w:hAnsi="Arial Narrow" w:cs="Times New Roman"/>
          <w:sz w:val="24"/>
          <w:szCs w:val="24"/>
        </w:rPr>
        <w:t>individual data points</w:t>
      </w:r>
      <w:r w:rsidR="009775E8" w:rsidRPr="00D20A5F">
        <w:rPr>
          <w:rFonts w:ascii="Arial Narrow" w:hAnsi="Arial Narrow" w:cs="Times New Roman"/>
          <w:sz w:val="24"/>
          <w:szCs w:val="24"/>
        </w:rPr>
        <w:t xml:space="preserve">, we lack </w:t>
      </w:r>
      <w:r w:rsidR="00435FAB" w:rsidRPr="00D20A5F">
        <w:rPr>
          <w:rFonts w:ascii="Arial Narrow" w:hAnsi="Arial Narrow" w:cs="Times New Roman"/>
          <w:sz w:val="24"/>
          <w:szCs w:val="24"/>
        </w:rPr>
        <w:t xml:space="preserve">strategic </w:t>
      </w:r>
      <w:r w:rsidR="00B51434">
        <w:rPr>
          <w:rFonts w:ascii="Arial Narrow" w:hAnsi="Arial Narrow" w:cs="Times New Roman"/>
          <w:sz w:val="24"/>
          <w:szCs w:val="24"/>
        </w:rPr>
        <w:t>data</w:t>
      </w:r>
      <w:r w:rsidR="009775E8" w:rsidRPr="00D20A5F">
        <w:rPr>
          <w:rFonts w:ascii="Arial Narrow" w:hAnsi="Arial Narrow" w:cs="Times New Roman"/>
          <w:sz w:val="24"/>
          <w:szCs w:val="24"/>
        </w:rPr>
        <w:t xml:space="preserve"> </w:t>
      </w:r>
      <w:r w:rsidRPr="00D20A5F">
        <w:rPr>
          <w:rFonts w:ascii="Arial Narrow" w:hAnsi="Arial Narrow" w:cs="Times New Roman"/>
          <w:sz w:val="24"/>
          <w:szCs w:val="24"/>
        </w:rPr>
        <w:t>regarding our Alaska marketplace and specifically the actual professional and continuing education needs</w:t>
      </w:r>
      <w:r w:rsidR="00435FAB" w:rsidRPr="00D20A5F">
        <w:rPr>
          <w:rFonts w:ascii="Arial Narrow" w:hAnsi="Arial Narrow" w:cs="Times New Roman"/>
          <w:sz w:val="24"/>
          <w:szCs w:val="24"/>
        </w:rPr>
        <w:t xml:space="preserve"> of our marketplace</w:t>
      </w:r>
      <w:r w:rsidRPr="00D20A5F">
        <w:rPr>
          <w:rFonts w:ascii="Arial Narrow" w:hAnsi="Arial Narrow" w:cs="Times New Roman"/>
          <w:sz w:val="24"/>
          <w:szCs w:val="24"/>
        </w:rPr>
        <w:t xml:space="preserve">. </w:t>
      </w:r>
      <w:r w:rsidR="00435FAB" w:rsidRPr="00D20A5F">
        <w:rPr>
          <w:rFonts w:ascii="Arial Narrow" w:hAnsi="Arial Narrow" w:cs="Times New Roman"/>
          <w:sz w:val="24"/>
          <w:szCs w:val="24"/>
        </w:rPr>
        <w:t xml:space="preserve">Improving our understanding of high demand areas as well as willingness to pay will provide </w:t>
      </w:r>
      <w:r w:rsidR="009775E8" w:rsidRPr="00D20A5F">
        <w:rPr>
          <w:rFonts w:ascii="Arial Narrow" w:hAnsi="Arial Narrow" w:cs="Times New Roman"/>
          <w:sz w:val="24"/>
          <w:szCs w:val="24"/>
        </w:rPr>
        <w:t xml:space="preserve">greater </w:t>
      </w:r>
      <w:r w:rsidR="00435FAB" w:rsidRPr="00D20A5F">
        <w:rPr>
          <w:rFonts w:ascii="Arial Narrow" w:hAnsi="Arial Narrow" w:cs="Times New Roman"/>
          <w:sz w:val="24"/>
          <w:szCs w:val="24"/>
        </w:rPr>
        <w:t xml:space="preserve">clarity and focus. </w:t>
      </w:r>
      <w:r w:rsidR="009775E8" w:rsidRPr="00D20A5F">
        <w:rPr>
          <w:rFonts w:ascii="Arial Narrow" w:hAnsi="Arial Narrow" w:cs="Times New Roman"/>
          <w:sz w:val="24"/>
          <w:szCs w:val="24"/>
        </w:rPr>
        <w:t>UAA</w:t>
      </w:r>
      <w:r w:rsidR="007A238C" w:rsidRPr="00D20A5F">
        <w:rPr>
          <w:rFonts w:ascii="Arial Narrow" w:hAnsi="Arial Narrow" w:cs="Times New Roman"/>
          <w:sz w:val="24"/>
          <w:szCs w:val="24"/>
        </w:rPr>
        <w:t xml:space="preserve"> should</w:t>
      </w:r>
      <w:r w:rsidR="0034287F" w:rsidRPr="00D20A5F">
        <w:rPr>
          <w:rFonts w:ascii="Arial Narrow" w:hAnsi="Arial Narrow" w:cs="Times New Roman"/>
          <w:sz w:val="24"/>
          <w:szCs w:val="24"/>
        </w:rPr>
        <w:t xml:space="preserve"> </w:t>
      </w:r>
      <w:r w:rsidR="00435FAB" w:rsidRPr="00D20A5F">
        <w:rPr>
          <w:rFonts w:ascii="Arial Narrow" w:hAnsi="Arial Narrow" w:cs="Times New Roman"/>
          <w:sz w:val="24"/>
          <w:szCs w:val="24"/>
        </w:rPr>
        <w:t xml:space="preserve">formally survey </w:t>
      </w:r>
      <w:r w:rsidR="00F47CF5" w:rsidRPr="00D20A5F">
        <w:rPr>
          <w:rFonts w:ascii="Arial Narrow" w:hAnsi="Arial Narrow" w:cs="Times New Roman"/>
          <w:sz w:val="24"/>
          <w:szCs w:val="24"/>
        </w:rPr>
        <w:t xml:space="preserve">key community member organizations of our primary </w:t>
      </w:r>
      <w:r w:rsidR="0034287F" w:rsidRPr="00D20A5F">
        <w:rPr>
          <w:rFonts w:ascii="Arial Narrow" w:hAnsi="Arial Narrow" w:cs="Times New Roman"/>
          <w:sz w:val="24"/>
          <w:szCs w:val="24"/>
        </w:rPr>
        <w:t>communities</w:t>
      </w:r>
      <w:r w:rsidR="00435FAB" w:rsidRPr="00D20A5F">
        <w:rPr>
          <w:rFonts w:ascii="Arial Narrow" w:hAnsi="Arial Narrow" w:cs="Times New Roman"/>
          <w:sz w:val="24"/>
          <w:szCs w:val="24"/>
        </w:rPr>
        <w:t xml:space="preserve"> of interest (Anchorage; Eagle River; </w:t>
      </w:r>
      <w:r w:rsidR="00F47CF5" w:rsidRPr="00D20A5F">
        <w:rPr>
          <w:rFonts w:ascii="Arial Narrow" w:hAnsi="Arial Narrow" w:cs="Times New Roman"/>
          <w:sz w:val="24"/>
          <w:szCs w:val="24"/>
        </w:rPr>
        <w:t>Mat-Su (Palmer, Wasilla);</w:t>
      </w:r>
      <w:r w:rsidR="00435FAB" w:rsidRPr="00D20A5F">
        <w:rPr>
          <w:rFonts w:ascii="Arial Narrow" w:hAnsi="Arial Narrow" w:cs="Times New Roman"/>
          <w:sz w:val="24"/>
          <w:szCs w:val="24"/>
        </w:rPr>
        <w:t xml:space="preserve"> Kenai Peninsula (Seward, </w:t>
      </w:r>
      <w:r w:rsidR="009775E8" w:rsidRPr="00D20A5F">
        <w:rPr>
          <w:rFonts w:ascii="Arial Narrow" w:hAnsi="Arial Narrow" w:cs="Times New Roman"/>
          <w:sz w:val="24"/>
          <w:szCs w:val="24"/>
        </w:rPr>
        <w:t>Homer</w:t>
      </w:r>
      <w:r w:rsidR="00435FAB" w:rsidRPr="00D20A5F">
        <w:rPr>
          <w:rFonts w:ascii="Arial Narrow" w:hAnsi="Arial Narrow" w:cs="Times New Roman"/>
          <w:sz w:val="24"/>
          <w:szCs w:val="24"/>
        </w:rPr>
        <w:t xml:space="preserve">, </w:t>
      </w:r>
      <w:r w:rsidR="00D02EAA" w:rsidRPr="00D20A5F">
        <w:rPr>
          <w:rFonts w:ascii="Arial Narrow" w:hAnsi="Arial Narrow" w:cs="Times New Roman"/>
          <w:sz w:val="24"/>
          <w:szCs w:val="24"/>
        </w:rPr>
        <w:t>and Soldotna</w:t>
      </w:r>
      <w:r w:rsidR="00435FAB" w:rsidRPr="00D20A5F">
        <w:rPr>
          <w:rFonts w:ascii="Arial Narrow" w:hAnsi="Arial Narrow" w:cs="Times New Roman"/>
          <w:sz w:val="24"/>
          <w:szCs w:val="24"/>
        </w:rPr>
        <w:t>)</w:t>
      </w:r>
      <w:r w:rsidR="00F47CF5" w:rsidRPr="00D20A5F">
        <w:rPr>
          <w:rFonts w:ascii="Arial Narrow" w:hAnsi="Arial Narrow" w:cs="Times New Roman"/>
          <w:sz w:val="24"/>
          <w:szCs w:val="24"/>
        </w:rPr>
        <w:t>;</w:t>
      </w:r>
      <w:r w:rsidR="00435FAB" w:rsidRPr="00D20A5F">
        <w:rPr>
          <w:rFonts w:ascii="Arial Narrow" w:hAnsi="Arial Narrow" w:cs="Times New Roman"/>
          <w:sz w:val="24"/>
          <w:szCs w:val="24"/>
        </w:rPr>
        <w:t xml:space="preserve"> Kodiak;</w:t>
      </w:r>
      <w:r w:rsidR="009775E8" w:rsidRPr="00D20A5F">
        <w:rPr>
          <w:rFonts w:ascii="Arial Narrow" w:hAnsi="Arial Narrow" w:cs="Times New Roman"/>
          <w:sz w:val="24"/>
          <w:szCs w:val="24"/>
        </w:rPr>
        <w:t xml:space="preserve"> and </w:t>
      </w:r>
      <w:r w:rsidR="00435FAB" w:rsidRPr="00D20A5F">
        <w:rPr>
          <w:rFonts w:ascii="Arial Narrow" w:hAnsi="Arial Narrow" w:cs="Times New Roman"/>
          <w:sz w:val="24"/>
          <w:szCs w:val="24"/>
        </w:rPr>
        <w:t>Prince William Sound (</w:t>
      </w:r>
      <w:r w:rsidR="00F47CF5" w:rsidRPr="00D20A5F">
        <w:rPr>
          <w:rFonts w:ascii="Arial Narrow" w:hAnsi="Arial Narrow" w:cs="Times New Roman"/>
          <w:sz w:val="24"/>
          <w:szCs w:val="24"/>
        </w:rPr>
        <w:t xml:space="preserve">Cordova, </w:t>
      </w:r>
      <w:r w:rsidR="009775E8" w:rsidRPr="00D20A5F">
        <w:rPr>
          <w:rFonts w:ascii="Arial Narrow" w:hAnsi="Arial Narrow" w:cs="Times New Roman"/>
          <w:sz w:val="24"/>
          <w:szCs w:val="24"/>
        </w:rPr>
        <w:t>Valdez</w:t>
      </w:r>
      <w:r w:rsidR="00F47CF5" w:rsidRPr="00D20A5F">
        <w:rPr>
          <w:rFonts w:ascii="Arial Narrow" w:hAnsi="Arial Narrow" w:cs="Times New Roman"/>
          <w:sz w:val="24"/>
          <w:szCs w:val="24"/>
        </w:rPr>
        <w:t xml:space="preserve">, </w:t>
      </w:r>
      <w:r w:rsidR="00D02EAA" w:rsidRPr="00D20A5F">
        <w:rPr>
          <w:rFonts w:ascii="Arial Narrow" w:hAnsi="Arial Narrow" w:cs="Times New Roman"/>
          <w:sz w:val="24"/>
          <w:szCs w:val="24"/>
        </w:rPr>
        <w:t>and Copper</w:t>
      </w:r>
      <w:r w:rsidR="00F47CF5" w:rsidRPr="00D20A5F">
        <w:rPr>
          <w:rFonts w:ascii="Arial Narrow" w:hAnsi="Arial Narrow" w:cs="Times New Roman"/>
          <w:sz w:val="24"/>
          <w:szCs w:val="24"/>
        </w:rPr>
        <w:t xml:space="preserve"> River Basin</w:t>
      </w:r>
      <w:r w:rsidR="009775E8" w:rsidRPr="00D20A5F">
        <w:rPr>
          <w:rFonts w:ascii="Arial Narrow" w:hAnsi="Arial Narrow" w:cs="Times New Roman"/>
          <w:sz w:val="24"/>
          <w:szCs w:val="24"/>
        </w:rPr>
        <w:t>)</w:t>
      </w:r>
      <w:r w:rsidR="00F47CF5" w:rsidRPr="00D20A5F">
        <w:rPr>
          <w:rFonts w:ascii="Arial Narrow" w:hAnsi="Arial Narrow" w:cs="Times New Roman"/>
          <w:sz w:val="24"/>
          <w:szCs w:val="24"/>
        </w:rPr>
        <w:t xml:space="preserve">. Likewise, we should develop a complimentary survey targeted to </w:t>
      </w:r>
      <w:r w:rsidR="00435FAB" w:rsidRPr="00D20A5F">
        <w:rPr>
          <w:rFonts w:ascii="Arial Narrow" w:hAnsi="Arial Narrow" w:cs="Times New Roman"/>
          <w:sz w:val="24"/>
          <w:szCs w:val="24"/>
        </w:rPr>
        <w:t>key</w:t>
      </w:r>
      <w:r w:rsidR="0034287F" w:rsidRPr="00D20A5F">
        <w:rPr>
          <w:rFonts w:ascii="Arial Narrow" w:hAnsi="Arial Narrow" w:cs="Times New Roman"/>
          <w:sz w:val="24"/>
          <w:szCs w:val="24"/>
        </w:rPr>
        <w:t xml:space="preserve"> </w:t>
      </w:r>
      <w:r w:rsidR="00435FAB" w:rsidRPr="00D20A5F">
        <w:rPr>
          <w:rFonts w:ascii="Arial Narrow" w:hAnsi="Arial Narrow" w:cs="Times New Roman"/>
          <w:sz w:val="24"/>
          <w:szCs w:val="24"/>
        </w:rPr>
        <w:t>industries</w:t>
      </w:r>
      <w:r w:rsidR="0034287F" w:rsidRPr="00D20A5F">
        <w:rPr>
          <w:rFonts w:ascii="Arial Narrow" w:hAnsi="Arial Narrow" w:cs="Times New Roman"/>
          <w:sz w:val="24"/>
          <w:szCs w:val="24"/>
        </w:rPr>
        <w:t xml:space="preserve">, and </w:t>
      </w:r>
      <w:r w:rsidR="00435FAB" w:rsidRPr="00D20A5F">
        <w:rPr>
          <w:rFonts w:ascii="Arial Narrow" w:hAnsi="Arial Narrow" w:cs="Times New Roman"/>
          <w:sz w:val="24"/>
          <w:szCs w:val="24"/>
        </w:rPr>
        <w:t xml:space="preserve">even alumni regarding their professional development needs. </w:t>
      </w:r>
      <w:r w:rsidR="007A238C" w:rsidRPr="00D20A5F">
        <w:rPr>
          <w:rFonts w:ascii="Arial Narrow" w:hAnsi="Arial Narrow" w:cs="Times New Roman"/>
          <w:sz w:val="24"/>
          <w:szCs w:val="24"/>
        </w:rPr>
        <w:t>Q</w:t>
      </w:r>
      <w:r w:rsidR="0034287F" w:rsidRPr="00D20A5F">
        <w:rPr>
          <w:rFonts w:ascii="Arial Narrow" w:hAnsi="Arial Narrow" w:cs="Times New Roman"/>
          <w:sz w:val="24"/>
          <w:szCs w:val="24"/>
        </w:rPr>
        <w:t xml:space="preserve">uestions could include:  What are </w:t>
      </w:r>
      <w:r w:rsidR="00435FAB" w:rsidRPr="00D20A5F">
        <w:rPr>
          <w:rFonts w:ascii="Arial Narrow" w:hAnsi="Arial Narrow" w:cs="Times New Roman"/>
          <w:sz w:val="24"/>
          <w:szCs w:val="24"/>
        </w:rPr>
        <w:t>your top three professional development needs</w:t>
      </w:r>
      <w:r w:rsidR="0034287F" w:rsidRPr="00D20A5F">
        <w:rPr>
          <w:rFonts w:ascii="Arial Narrow" w:hAnsi="Arial Narrow" w:cs="Times New Roman"/>
          <w:sz w:val="24"/>
          <w:szCs w:val="24"/>
        </w:rPr>
        <w:t xml:space="preserve">?  </w:t>
      </w:r>
      <w:r w:rsidR="00F47CF5" w:rsidRPr="00D20A5F">
        <w:rPr>
          <w:rFonts w:ascii="Arial Narrow" w:hAnsi="Arial Narrow" w:cs="Times New Roman"/>
          <w:sz w:val="24"/>
          <w:szCs w:val="24"/>
        </w:rPr>
        <w:t>What professional licensure areas shall we develop</w:t>
      </w:r>
      <w:r w:rsidR="0034287F" w:rsidRPr="00D20A5F">
        <w:rPr>
          <w:rFonts w:ascii="Arial Narrow" w:hAnsi="Arial Narrow" w:cs="Times New Roman"/>
          <w:sz w:val="24"/>
          <w:szCs w:val="24"/>
        </w:rPr>
        <w:t xml:space="preserve">?  </w:t>
      </w:r>
      <w:r w:rsidR="00F47CF5" w:rsidRPr="00D20A5F">
        <w:rPr>
          <w:rFonts w:ascii="Arial Narrow" w:hAnsi="Arial Narrow" w:cs="Times New Roman"/>
          <w:sz w:val="24"/>
          <w:szCs w:val="24"/>
        </w:rPr>
        <w:t xml:space="preserve">Where do you prefer to take the majority of your classes? What days/times are best for taking professional development classes? </w:t>
      </w:r>
      <w:r w:rsidR="00851DD5" w:rsidRPr="00D20A5F">
        <w:rPr>
          <w:rFonts w:ascii="Arial Narrow" w:hAnsi="Arial Narrow" w:cs="Times New Roman"/>
          <w:sz w:val="24"/>
          <w:szCs w:val="24"/>
        </w:rPr>
        <w:t xml:space="preserve">What length of class is preferred (short two-hour top specific series or one 8 hour)? What are you willing to pay per hour of CPE delivery? </w:t>
      </w:r>
      <w:r w:rsidR="00F47CF5" w:rsidRPr="00D20A5F">
        <w:rPr>
          <w:rFonts w:ascii="Arial Narrow" w:hAnsi="Arial Narrow" w:cs="Times New Roman"/>
          <w:sz w:val="24"/>
          <w:szCs w:val="24"/>
        </w:rPr>
        <w:t xml:space="preserve">Answers to these and other related questions </w:t>
      </w:r>
      <w:r w:rsidR="00D02EAA" w:rsidRPr="00D20A5F">
        <w:rPr>
          <w:rFonts w:ascii="Arial Narrow" w:hAnsi="Arial Narrow" w:cs="Times New Roman"/>
          <w:sz w:val="24"/>
          <w:szCs w:val="24"/>
        </w:rPr>
        <w:t>would</w:t>
      </w:r>
      <w:r w:rsidR="007A238C" w:rsidRPr="00D20A5F">
        <w:rPr>
          <w:rFonts w:ascii="Arial Narrow" w:hAnsi="Arial Narrow" w:cs="Times New Roman"/>
          <w:sz w:val="24"/>
          <w:szCs w:val="24"/>
        </w:rPr>
        <w:t xml:space="preserve"> </w:t>
      </w:r>
      <w:r w:rsidR="00F47CF5" w:rsidRPr="00D20A5F">
        <w:rPr>
          <w:rFonts w:ascii="Arial Narrow" w:hAnsi="Arial Narrow" w:cs="Times New Roman"/>
          <w:sz w:val="24"/>
          <w:szCs w:val="24"/>
        </w:rPr>
        <w:t xml:space="preserve">serve to inform and aid us in prioritizing </w:t>
      </w:r>
      <w:r w:rsidR="00851DD5" w:rsidRPr="00D20A5F">
        <w:rPr>
          <w:rFonts w:ascii="Arial Narrow" w:hAnsi="Arial Narrow" w:cs="Times New Roman"/>
          <w:sz w:val="24"/>
          <w:szCs w:val="24"/>
        </w:rPr>
        <w:t>UAA CPE suite of offerings</w:t>
      </w:r>
      <w:r w:rsidR="0034287F" w:rsidRPr="00D20A5F">
        <w:rPr>
          <w:rFonts w:ascii="Arial Narrow" w:hAnsi="Arial Narrow" w:cs="Times New Roman"/>
          <w:sz w:val="24"/>
          <w:szCs w:val="24"/>
        </w:rPr>
        <w:t>.</w:t>
      </w:r>
      <w:r w:rsidR="00E04A6B" w:rsidRPr="00D20A5F">
        <w:rPr>
          <w:rFonts w:ascii="Arial Narrow" w:hAnsi="Arial Narrow" w:cs="Times New Roman"/>
          <w:sz w:val="24"/>
          <w:szCs w:val="24"/>
        </w:rPr>
        <w:t xml:space="preserve"> </w:t>
      </w:r>
      <w:r w:rsidR="00256402" w:rsidRPr="00D20A5F">
        <w:rPr>
          <w:rFonts w:ascii="Arial Narrow" w:hAnsi="Arial Narrow" w:cs="Times New Roman"/>
          <w:sz w:val="24"/>
          <w:szCs w:val="24"/>
        </w:rPr>
        <w:t>It would also be helpful to have a firmer understanding of best practices. Sending a lead to a</w:t>
      </w:r>
      <w:r w:rsidR="00E04A6B" w:rsidRPr="00D20A5F">
        <w:rPr>
          <w:rFonts w:ascii="Arial Narrow" w:hAnsi="Arial Narrow" w:cs="Times New Roman"/>
          <w:sz w:val="24"/>
          <w:szCs w:val="24"/>
        </w:rPr>
        <w:t xml:space="preserve">ttend the </w:t>
      </w:r>
      <w:r w:rsidR="00107CDF">
        <w:rPr>
          <w:rFonts w:ascii="Arial Narrow" w:hAnsi="Arial Narrow" w:cs="Times New Roman"/>
          <w:sz w:val="24"/>
          <w:szCs w:val="24"/>
        </w:rPr>
        <w:t xml:space="preserve">University Professional and Continuing Education Association, </w:t>
      </w:r>
      <w:r w:rsidR="00E04A6B" w:rsidRPr="00D20A5F">
        <w:rPr>
          <w:rFonts w:ascii="Arial Narrow" w:hAnsi="Arial Narrow" w:cs="Times New Roman"/>
          <w:sz w:val="24"/>
          <w:szCs w:val="24"/>
        </w:rPr>
        <w:t>Association for Professional, Continuing, and Online Education and</w:t>
      </w:r>
      <w:r w:rsidR="00256402" w:rsidRPr="00D20A5F">
        <w:rPr>
          <w:rFonts w:ascii="Arial Narrow" w:hAnsi="Arial Narrow" w:cs="Times New Roman"/>
          <w:sz w:val="24"/>
          <w:szCs w:val="24"/>
        </w:rPr>
        <w:t>/or</w:t>
      </w:r>
      <w:r w:rsidR="00E04A6B" w:rsidRPr="00D20A5F">
        <w:rPr>
          <w:rFonts w:ascii="Arial Narrow" w:hAnsi="Arial Narrow" w:cs="Times New Roman"/>
          <w:sz w:val="24"/>
          <w:szCs w:val="24"/>
        </w:rPr>
        <w:t xml:space="preserve"> the Conference of Management, Executive and Professional Development for networking and learning</w:t>
      </w:r>
      <w:r w:rsidR="00256402" w:rsidRPr="00D20A5F">
        <w:rPr>
          <w:rFonts w:ascii="Arial Narrow" w:hAnsi="Arial Narrow" w:cs="Times New Roman"/>
          <w:sz w:val="24"/>
          <w:szCs w:val="24"/>
        </w:rPr>
        <w:t xml:space="preserve"> is encouraged</w:t>
      </w:r>
      <w:r w:rsidR="00E04A6B" w:rsidRPr="00D20A5F">
        <w:rPr>
          <w:rFonts w:ascii="Arial Narrow" w:hAnsi="Arial Narrow" w:cs="Times New Roman"/>
          <w:sz w:val="24"/>
          <w:szCs w:val="24"/>
        </w:rPr>
        <w:t>.</w:t>
      </w:r>
    </w:p>
    <w:p w:rsidR="008510CA" w:rsidRPr="00D20A5F" w:rsidRDefault="008510CA" w:rsidP="007A238C">
      <w:pPr>
        <w:spacing w:after="0"/>
        <w:rPr>
          <w:rFonts w:ascii="Arial Narrow" w:hAnsi="Arial Narrow" w:cs="Times New Roman"/>
          <w:sz w:val="24"/>
          <w:szCs w:val="24"/>
        </w:rPr>
      </w:pPr>
    </w:p>
    <w:p w:rsidR="008510CA" w:rsidRPr="00D20A5F" w:rsidRDefault="008510CA" w:rsidP="007A238C">
      <w:pPr>
        <w:spacing w:after="0"/>
        <w:rPr>
          <w:rFonts w:ascii="Arial Narrow" w:hAnsi="Arial Narrow" w:cs="Times New Roman"/>
          <w:sz w:val="24"/>
          <w:szCs w:val="24"/>
        </w:rPr>
      </w:pPr>
      <w:r w:rsidRPr="00D20A5F">
        <w:rPr>
          <w:rFonts w:ascii="Arial Narrow" w:hAnsi="Arial Narrow" w:cs="Times New Roman"/>
          <w:sz w:val="24"/>
          <w:szCs w:val="24"/>
        </w:rPr>
        <w:t xml:space="preserve">We believe an opportunity is to better focus on training(s) required by employers specifically for licensure purposes. For example, engineers who want to practice in Alaska must have Arctic Engineering coursework. Once a thorough needs assessment is completed, a ‘customer first’ model can be implemented. A centralized unit is likely best to ensure consistent management of faculty hiring to maintenance of transcripts. </w:t>
      </w:r>
    </w:p>
    <w:p w:rsidR="007A238C" w:rsidRPr="00D20A5F" w:rsidRDefault="007A238C" w:rsidP="007A238C">
      <w:pPr>
        <w:spacing w:after="0"/>
        <w:rPr>
          <w:rFonts w:ascii="Arial Narrow" w:hAnsi="Arial Narrow" w:cs="Times New Roman"/>
          <w:sz w:val="24"/>
          <w:szCs w:val="24"/>
        </w:rPr>
      </w:pPr>
    </w:p>
    <w:p w:rsidR="007A238C" w:rsidRPr="00D20A5F" w:rsidRDefault="00256402" w:rsidP="007A238C">
      <w:pPr>
        <w:spacing w:after="0"/>
        <w:rPr>
          <w:rFonts w:ascii="Arial Narrow" w:hAnsi="Arial Narrow" w:cs="Times New Roman"/>
          <w:sz w:val="24"/>
          <w:szCs w:val="24"/>
        </w:rPr>
      </w:pPr>
      <w:r w:rsidRPr="00D20A5F">
        <w:rPr>
          <w:rFonts w:ascii="Arial Narrow" w:hAnsi="Arial Narrow" w:cs="Times New Roman"/>
          <w:sz w:val="24"/>
          <w:szCs w:val="24"/>
        </w:rPr>
        <w:t xml:space="preserve">Ultimately, we are going to need to make some decisions. </w:t>
      </w:r>
      <w:r w:rsidR="0034287F" w:rsidRPr="00D20A5F">
        <w:rPr>
          <w:rFonts w:ascii="Arial Narrow" w:hAnsi="Arial Narrow" w:cs="Times New Roman"/>
          <w:sz w:val="24"/>
          <w:szCs w:val="24"/>
        </w:rPr>
        <w:t xml:space="preserve">We have a </w:t>
      </w:r>
      <w:r w:rsidRPr="00D20A5F">
        <w:rPr>
          <w:rFonts w:ascii="Arial Narrow" w:hAnsi="Arial Narrow" w:cs="Times New Roman"/>
          <w:sz w:val="24"/>
          <w:szCs w:val="24"/>
        </w:rPr>
        <w:t>diverse mix of</w:t>
      </w:r>
      <w:r w:rsidR="0034287F" w:rsidRPr="00D20A5F">
        <w:rPr>
          <w:rFonts w:ascii="Arial Narrow" w:hAnsi="Arial Narrow" w:cs="Times New Roman"/>
          <w:sz w:val="24"/>
          <w:szCs w:val="24"/>
        </w:rPr>
        <w:t xml:space="preserve"> clients </w:t>
      </w:r>
      <w:r w:rsidRPr="00D20A5F">
        <w:rPr>
          <w:rFonts w:ascii="Arial Narrow" w:hAnsi="Arial Narrow" w:cs="Times New Roman"/>
          <w:sz w:val="24"/>
          <w:szCs w:val="24"/>
        </w:rPr>
        <w:t xml:space="preserve">having a wide range of professional and personal develop needs. </w:t>
      </w:r>
      <w:r w:rsidR="000F373F">
        <w:rPr>
          <w:rFonts w:ascii="Arial Narrow" w:hAnsi="Arial Narrow" w:cs="Times New Roman"/>
          <w:sz w:val="24"/>
          <w:szCs w:val="24"/>
        </w:rPr>
        <w:t xml:space="preserve">Simultaneously, the CPE market is changing rapidly and what sold well last year, </w:t>
      </w:r>
      <w:r w:rsidR="00D02EAA">
        <w:rPr>
          <w:rFonts w:ascii="Arial Narrow" w:hAnsi="Arial Narrow" w:cs="Times New Roman"/>
          <w:sz w:val="24"/>
          <w:szCs w:val="24"/>
        </w:rPr>
        <w:t>is not</w:t>
      </w:r>
      <w:r w:rsidR="000F373F">
        <w:rPr>
          <w:rFonts w:ascii="Arial Narrow" w:hAnsi="Arial Narrow" w:cs="Times New Roman"/>
          <w:sz w:val="24"/>
          <w:szCs w:val="24"/>
        </w:rPr>
        <w:t xml:space="preserve"> necessarily going to sell moving forward. </w:t>
      </w:r>
      <w:r w:rsidR="0034287F" w:rsidRPr="00D20A5F">
        <w:rPr>
          <w:rFonts w:ascii="Arial Narrow" w:hAnsi="Arial Narrow" w:cs="Times New Roman"/>
          <w:sz w:val="24"/>
          <w:szCs w:val="24"/>
        </w:rPr>
        <w:t xml:space="preserve">Mapping </w:t>
      </w:r>
      <w:r w:rsidR="00851DD5" w:rsidRPr="00D20A5F">
        <w:rPr>
          <w:rFonts w:ascii="Arial Narrow" w:hAnsi="Arial Narrow" w:cs="Times New Roman"/>
          <w:sz w:val="24"/>
          <w:szCs w:val="24"/>
        </w:rPr>
        <w:t xml:space="preserve">an improved understanding of </w:t>
      </w:r>
      <w:r w:rsidRPr="00D20A5F">
        <w:rPr>
          <w:rFonts w:ascii="Arial Narrow" w:hAnsi="Arial Narrow" w:cs="Times New Roman"/>
          <w:sz w:val="24"/>
          <w:szCs w:val="24"/>
        </w:rPr>
        <w:t xml:space="preserve">demand </w:t>
      </w:r>
      <w:r w:rsidR="00851DD5" w:rsidRPr="00D20A5F">
        <w:rPr>
          <w:rFonts w:ascii="Arial Narrow" w:hAnsi="Arial Narrow" w:cs="Times New Roman"/>
          <w:sz w:val="24"/>
          <w:szCs w:val="24"/>
        </w:rPr>
        <w:t>as well as our current offerings will better inform where any gaps or even unnecessary offerings exist</w:t>
      </w:r>
      <w:r w:rsidR="0034287F" w:rsidRPr="00D20A5F">
        <w:rPr>
          <w:rFonts w:ascii="Arial Narrow" w:hAnsi="Arial Narrow" w:cs="Times New Roman"/>
          <w:sz w:val="24"/>
          <w:szCs w:val="24"/>
        </w:rPr>
        <w:t>.</w:t>
      </w:r>
      <w:r w:rsidR="007A238C" w:rsidRPr="00D20A5F">
        <w:rPr>
          <w:rFonts w:ascii="Arial Narrow" w:hAnsi="Arial Narrow" w:cs="Times New Roman"/>
          <w:sz w:val="24"/>
          <w:szCs w:val="24"/>
        </w:rPr>
        <w:t xml:space="preserve"> </w:t>
      </w:r>
      <w:r w:rsidR="00851DD5" w:rsidRPr="00D20A5F">
        <w:rPr>
          <w:rFonts w:ascii="Arial Narrow" w:hAnsi="Arial Narrow" w:cs="Times New Roman"/>
          <w:sz w:val="24"/>
          <w:szCs w:val="24"/>
        </w:rPr>
        <w:t>Now more than ever we need to ensure our UAA</w:t>
      </w:r>
      <w:r w:rsidRPr="00D20A5F">
        <w:rPr>
          <w:rFonts w:ascii="Arial Narrow" w:hAnsi="Arial Narrow" w:cs="Times New Roman"/>
          <w:sz w:val="24"/>
          <w:szCs w:val="24"/>
        </w:rPr>
        <w:t xml:space="preserve"> educational assets are strategically </w:t>
      </w:r>
      <w:r w:rsidR="00BD5195" w:rsidRPr="00D20A5F">
        <w:rPr>
          <w:rFonts w:ascii="Arial Narrow" w:hAnsi="Arial Narrow" w:cs="Times New Roman"/>
          <w:sz w:val="24"/>
          <w:szCs w:val="24"/>
        </w:rPr>
        <w:t xml:space="preserve">leveraged </w:t>
      </w:r>
      <w:r w:rsidR="00851DD5" w:rsidRPr="00D20A5F">
        <w:rPr>
          <w:rFonts w:ascii="Arial Narrow" w:hAnsi="Arial Narrow" w:cs="Times New Roman"/>
          <w:sz w:val="24"/>
          <w:szCs w:val="24"/>
        </w:rPr>
        <w:t>as well as appropriately marketed</w:t>
      </w:r>
      <w:r w:rsidRPr="00D20A5F">
        <w:rPr>
          <w:rFonts w:ascii="Arial Narrow" w:hAnsi="Arial Narrow" w:cs="Times New Roman"/>
          <w:sz w:val="24"/>
          <w:szCs w:val="24"/>
        </w:rPr>
        <w:t>.</w:t>
      </w:r>
      <w:r w:rsidR="00BD5195" w:rsidRPr="00D20A5F">
        <w:rPr>
          <w:rFonts w:ascii="Arial Narrow" w:hAnsi="Arial Narrow" w:cs="Times New Roman"/>
          <w:sz w:val="24"/>
          <w:szCs w:val="24"/>
        </w:rPr>
        <w:t xml:space="preserve"> </w:t>
      </w:r>
      <w:r w:rsidR="0034287F" w:rsidRPr="00D20A5F">
        <w:rPr>
          <w:rFonts w:ascii="Arial Narrow" w:hAnsi="Arial Narrow" w:cs="Times New Roman"/>
          <w:sz w:val="24"/>
          <w:szCs w:val="24"/>
        </w:rPr>
        <w:t xml:space="preserve">Successful peer institutions </w:t>
      </w:r>
      <w:r w:rsidRPr="00D20A5F">
        <w:rPr>
          <w:rFonts w:ascii="Arial Narrow" w:hAnsi="Arial Narrow" w:cs="Times New Roman"/>
          <w:sz w:val="24"/>
          <w:szCs w:val="24"/>
        </w:rPr>
        <w:t>appear</w:t>
      </w:r>
      <w:r w:rsidR="0034287F" w:rsidRPr="00D20A5F">
        <w:rPr>
          <w:rFonts w:ascii="Arial Narrow" w:hAnsi="Arial Narrow" w:cs="Times New Roman"/>
          <w:sz w:val="24"/>
          <w:szCs w:val="24"/>
        </w:rPr>
        <w:t xml:space="preserve"> v</w:t>
      </w:r>
      <w:r w:rsidR="000F373F">
        <w:rPr>
          <w:rFonts w:ascii="Arial Narrow" w:hAnsi="Arial Narrow" w:cs="Times New Roman"/>
          <w:sz w:val="24"/>
          <w:szCs w:val="24"/>
        </w:rPr>
        <w:t>ery aware of their client needs or</w:t>
      </w:r>
      <w:r w:rsidR="0034287F" w:rsidRPr="00D20A5F">
        <w:rPr>
          <w:rFonts w:ascii="Arial Narrow" w:hAnsi="Arial Narrow" w:cs="Times New Roman"/>
          <w:sz w:val="24"/>
          <w:szCs w:val="24"/>
        </w:rPr>
        <w:t xml:space="preserve"> </w:t>
      </w:r>
      <w:r w:rsidR="000F373F">
        <w:rPr>
          <w:rFonts w:ascii="Arial Narrow" w:hAnsi="Arial Narrow" w:cs="Times New Roman"/>
          <w:sz w:val="24"/>
          <w:szCs w:val="24"/>
        </w:rPr>
        <w:t>content demand, preferred format, scheduling and ability to pay</w:t>
      </w:r>
      <w:r w:rsidR="0034287F" w:rsidRPr="00D20A5F">
        <w:rPr>
          <w:rFonts w:ascii="Arial Narrow" w:hAnsi="Arial Narrow" w:cs="Times New Roman"/>
          <w:sz w:val="24"/>
          <w:szCs w:val="24"/>
        </w:rPr>
        <w:t xml:space="preserve">.  </w:t>
      </w:r>
    </w:p>
    <w:p w:rsidR="0034287F" w:rsidRPr="00D20A5F" w:rsidRDefault="0034287F" w:rsidP="0034287F">
      <w:pPr>
        <w:spacing w:after="0"/>
        <w:rPr>
          <w:rFonts w:ascii="Arial Narrow" w:hAnsi="Arial Narrow" w:cs="Times New Roman"/>
          <w:sz w:val="24"/>
          <w:szCs w:val="24"/>
        </w:rPr>
      </w:pPr>
    </w:p>
    <w:p w:rsidR="00D02EAA" w:rsidRDefault="00D02EAA">
      <w:pPr>
        <w:rPr>
          <w:rFonts w:ascii="Arial Narrow" w:hAnsi="Arial Narrow" w:cs="Times New Roman"/>
          <w:b/>
          <w:i/>
          <w:sz w:val="24"/>
          <w:szCs w:val="24"/>
        </w:rPr>
      </w:pPr>
      <w:r>
        <w:rPr>
          <w:rFonts w:ascii="Arial Narrow" w:hAnsi="Arial Narrow" w:cs="Times New Roman"/>
          <w:b/>
          <w:i/>
          <w:sz w:val="24"/>
          <w:szCs w:val="24"/>
        </w:rPr>
        <w:br w:type="page"/>
      </w:r>
    </w:p>
    <w:p w:rsidR="0034287F" w:rsidRPr="00D20A5F" w:rsidRDefault="0034287F" w:rsidP="0034287F">
      <w:pPr>
        <w:spacing w:after="0"/>
        <w:rPr>
          <w:rFonts w:ascii="Arial Narrow" w:hAnsi="Arial Narrow" w:cs="Times New Roman"/>
          <w:b/>
          <w:i/>
          <w:sz w:val="24"/>
          <w:szCs w:val="24"/>
        </w:rPr>
      </w:pPr>
      <w:r w:rsidRPr="00D20A5F">
        <w:rPr>
          <w:rFonts w:ascii="Arial Narrow" w:hAnsi="Arial Narrow" w:cs="Times New Roman"/>
          <w:b/>
          <w:i/>
          <w:sz w:val="24"/>
          <w:szCs w:val="24"/>
        </w:rPr>
        <w:lastRenderedPageBreak/>
        <w:t xml:space="preserve">Optimize Resources to Focus on </w:t>
      </w:r>
      <w:r w:rsidR="00851DD5" w:rsidRPr="00D20A5F">
        <w:rPr>
          <w:rFonts w:ascii="Arial Narrow" w:hAnsi="Arial Narrow" w:cs="Times New Roman"/>
          <w:b/>
          <w:i/>
          <w:sz w:val="24"/>
          <w:szCs w:val="24"/>
        </w:rPr>
        <w:t>Strategic Delivery</w:t>
      </w:r>
      <w:r w:rsidRPr="00D20A5F">
        <w:rPr>
          <w:rFonts w:ascii="Arial Narrow" w:hAnsi="Arial Narrow" w:cs="Times New Roman"/>
          <w:b/>
          <w:i/>
          <w:sz w:val="24"/>
          <w:szCs w:val="24"/>
        </w:rPr>
        <w:t>:</w:t>
      </w:r>
    </w:p>
    <w:p w:rsidR="008510CA" w:rsidRDefault="00851DD5" w:rsidP="007A238C">
      <w:pPr>
        <w:spacing w:after="0"/>
        <w:rPr>
          <w:rFonts w:ascii="Arial Narrow" w:hAnsi="Arial Narrow" w:cs="Times New Roman"/>
          <w:sz w:val="24"/>
          <w:szCs w:val="24"/>
        </w:rPr>
      </w:pPr>
      <w:r w:rsidRPr="00D20A5F">
        <w:rPr>
          <w:rFonts w:ascii="Arial Narrow" w:hAnsi="Arial Narrow" w:cs="Times New Roman"/>
          <w:sz w:val="24"/>
          <w:szCs w:val="24"/>
        </w:rPr>
        <w:t xml:space="preserve">An improved understanding of all UAA resources already supporting CPE efforts across UAA’s various </w:t>
      </w:r>
      <w:r w:rsidR="00A828FE" w:rsidRPr="00D20A5F">
        <w:rPr>
          <w:rFonts w:ascii="Arial Narrow" w:hAnsi="Arial Narrow" w:cs="Times New Roman"/>
          <w:sz w:val="24"/>
          <w:szCs w:val="24"/>
        </w:rPr>
        <w:t xml:space="preserve">units and </w:t>
      </w:r>
      <w:r w:rsidRPr="00D20A5F">
        <w:rPr>
          <w:rFonts w:ascii="Arial Narrow" w:hAnsi="Arial Narrow" w:cs="Times New Roman"/>
          <w:sz w:val="24"/>
          <w:szCs w:val="24"/>
        </w:rPr>
        <w:t xml:space="preserve">campuses is essential. Currently </w:t>
      </w:r>
      <w:r w:rsidR="008313A5">
        <w:rPr>
          <w:rFonts w:ascii="Arial Narrow" w:hAnsi="Arial Narrow" w:cs="Times New Roman"/>
          <w:sz w:val="24"/>
          <w:szCs w:val="24"/>
        </w:rPr>
        <w:t xml:space="preserve">all UAA academic </w:t>
      </w:r>
      <w:r w:rsidRPr="00D20A5F">
        <w:rPr>
          <w:rFonts w:ascii="Arial Narrow" w:hAnsi="Arial Narrow" w:cs="Times New Roman"/>
          <w:sz w:val="24"/>
          <w:szCs w:val="24"/>
        </w:rPr>
        <w:t xml:space="preserve">units are offering </w:t>
      </w:r>
      <w:r w:rsidR="008313A5">
        <w:rPr>
          <w:rFonts w:ascii="Arial Narrow" w:hAnsi="Arial Narrow" w:cs="Times New Roman"/>
          <w:sz w:val="24"/>
          <w:szCs w:val="24"/>
        </w:rPr>
        <w:t>some non-credit courses</w:t>
      </w:r>
      <w:r w:rsidR="009C55BE">
        <w:rPr>
          <w:rFonts w:ascii="Arial Narrow" w:hAnsi="Arial Narrow" w:cs="Times New Roman"/>
          <w:sz w:val="24"/>
          <w:szCs w:val="24"/>
        </w:rPr>
        <w:t>,</w:t>
      </w:r>
      <w:r w:rsidR="008313A5">
        <w:rPr>
          <w:rFonts w:ascii="Arial Narrow" w:hAnsi="Arial Narrow" w:cs="Times New Roman"/>
          <w:sz w:val="24"/>
          <w:szCs w:val="24"/>
        </w:rPr>
        <w:t xml:space="preserve"> many utilizing</w:t>
      </w:r>
      <w:r w:rsidRPr="00D20A5F">
        <w:rPr>
          <w:rFonts w:ascii="Arial Narrow" w:hAnsi="Arial Narrow" w:cs="Times New Roman"/>
          <w:sz w:val="24"/>
          <w:szCs w:val="24"/>
        </w:rPr>
        <w:t xml:space="preserve"> UGF to cover staff time </w:t>
      </w:r>
      <w:r w:rsidR="009C55BE">
        <w:rPr>
          <w:rFonts w:ascii="Arial Narrow" w:hAnsi="Arial Narrow" w:cs="Times New Roman"/>
          <w:sz w:val="24"/>
          <w:szCs w:val="24"/>
        </w:rPr>
        <w:t>and a few delivering courses having zero</w:t>
      </w:r>
      <w:r w:rsidRPr="00D20A5F">
        <w:rPr>
          <w:rFonts w:ascii="Arial Narrow" w:hAnsi="Arial Narrow" w:cs="Times New Roman"/>
          <w:sz w:val="24"/>
          <w:szCs w:val="24"/>
        </w:rPr>
        <w:t xml:space="preserve"> UGF investment. Additionally, staff across UAA are involved in processing paperwork</w:t>
      </w:r>
      <w:r w:rsidR="00A828FE" w:rsidRPr="00D20A5F">
        <w:rPr>
          <w:rFonts w:ascii="Arial Narrow" w:hAnsi="Arial Narrow" w:cs="Times New Roman"/>
          <w:sz w:val="24"/>
          <w:szCs w:val="24"/>
        </w:rPr>
        <w:t xml:space="preserve"> </w:t>
      </w:r>
      <w:r w:rsidR="009C55BE">
        <w:rPr>
          <w:rFonts w:ascii="Arial Narrow" w:hAnsi="Arial Narrow" w:cs="Times New Roman"/>
          <w:sz w:val="24"/>
          <w:szCs w:val="24"/>
        </w:rPr>
        <w:t xml:space="preserve">through procurement and HR units and these administrative functions are not factored into course delivery fees in a similar way research might have a F&amp;A associated fee. </w:t>
      </w:r>
      <w:r w:rsidR="00102BFC" w:rsidRPr="00D20A5F">
        <w:rPr>
          <w:rFonts w:ascii="Arial Narrow" w:hAnsi="Arial Narrow" w:cs="Times New Roman"/>
          <w:sz w:val="24"/>
          <w:szCs w:val="24"/>
        </w:rPr>
        <w:t xml:space="preserve">A more formal </w:t>
      </w:r>
      <w:r w:rsidR="008313A5">
        <w:rPr>
          <w:rFonts w:ascii="Arial Narrow" w:hAnsi="Arial Narrow" w:cs="Times New Roman"/>
          <w:sz w:val="24"/>
          <w:szCs w:val="24"/>
        </w:rPr>
        <w:t>inventory of</w:t>
      </w:r>
      <w:r w:rsidR="00102BFC" w:rsidRPr="00D20A5F">
        <w:rPr>
          <w:rFonts w:ascii="Arial Narrow" w:hAnsi="Arial Narrow" w:cs="Times New Roman"/>
          <w:sz w:val="24"/>
          <w:szCs w:val="24"/>
        </w:rPr>
        <w:t xml:space="preserve"> activity as well as</w:t>
      </w:r>
      <w:r w:rsidR="009C55BE">
        <w:rPr>
          <w:rFonts w:ascii="Arial Narrow" w:hAnsi="Arial Narrow" w:cs="Times New Roman"/>
          <w:sz w:val="24"/>
          <w:szCs w:val="24"/>
        </w:rPr>
        <w:t xml:space="preserve"> </w:t>
      </w:r>
      <w:r w:rsidR="00D02EAA">
        <w:rPr>
          <w:rFonts w:ascii="Arial Narrow" w:hAnsi="Arial Narrow" w:cs="Times New Roman"/>
          <w:sz w:val="24"/>
          <w:szCs w:val="24"/>
        </w:rPr>
        <w:t xml:space="preserve">associated </w:t>
      </w:r>
      <w:r w:rsidR="00D02EAA" w:rsidRPr="00D20A5F">
        <w:rPr>
          <w:rFonts w:ascii="Arial Narrow" w:hAnsi="Arial Narrow" w:cs="Times New Roman"/>
          <w:sz w:val="24"/>
          <w:szCs w:val="24"/>
        </w:rPr>
        <w:t>expenditures</w:t>
      </w:r>
      <w:r w:rsidR="00102BFC" w:rsidRPr="00D20A5F">
        <w:rPr>
          <w:rFonts w:ascii="Arial Narrow" w:hAnsi="Arial Narrow" w:cs="Times New Roman"/>
          <w:sz w:val="24"/>
          <w:szCs w:val="24"/>
        </w:rPr>
        <w:t xml:space="preserve"> and revenues is warranted. </w:t>
      </w:r>
      <w:r w:rsidR="009C55BE">
        <w:rPr>
          <w:rFonts w:ascii="Arial Narrow" w:hAnsi="Arial Narrow" w:cs="Times New Roman"/>
          <w:sz w:val="24"/>
          <w:szCs w:val="24"/>
        </w:rPr>
        <w:t xml:space="preserve">While we do not need to know how each penny flows to make recommendations, it is important for UAA to establish improved tracking systems related to CPE functions to ensure institutional goals are achieved. </w:t>
      </w:r>
      <w:r w:rsidR="008313A5">
        <w:rPr>
          <w:rFonts w:ascii="Arial Narrow" w:hAnsi="Arial Narrow" w:cs="Times New Roman"/>
          <w:sz w:val="24"/>
          <w:szCs w:val="24"/>
        </w:rPr>
        <w:t>Revenues</w:t>
      </w:r>
      <w:r w:rsidR="00102BFC" w:rsidRPr="00D20A5F">
        <w:rPr>
          <w:rFonts w:ascii="Arial Narrow" w:hAnsi="Arial Narrow" w:cs="Times New Roman"/>
          <w:sz w:val="24"/>
          <w:szCs w:val="24"/>
        </w:rPr>
        <w:t xml:space="preserve">, while largely </w:t>
      </w:r>
      <w:r w:rsidR="008313A5">
        <w:rPr>
          <w:rFonts w:ascii="Arial Narrow" w:hAnsi="Arial Narrow" w:cs="Times New Roman"/>
          <w:sz w:val="24"/>
          <w:szCs w:val="24"/>
        </w:rPr>
        <w:t>tracked</w:t>
      </w:r>
      <w:r w:rsidR="00102BFC" w:rsidRPr="00D20A5F">
        <w:rPr>
          <w:rFonts w:ascii="Arial Narrow" w:hAnsi="Arial Narrow" w:cs="Times New Roman"/>
          <w:sz w:val="24"/>
          <w:szCs w:val="24"/>
        </w:rPr>
        <w:t xml:space="preserve"> through ASAP</w:t>
      </w:r>
      <w:r w:rsidR="008313A5">
        <w:rPr>
          <w:rFonts w:ascii="Arial Narrow" w:hAnsi="Arial Narrow" w:cs="Times New Roman"/>
          <w:sz w:val="24"/>
          <w:szCs w:val="24"/>
        </w:rPr>
        <w:t>,</w:t>
      </w:r>
      <w:r w:rsidR="00102BFC" w:rsidRPr="00D20A5F">
        <w:rPr>
          <w:rFonts w:ascii="Arial Narrow" w:hAnsi="Arial Narrow" w:cs="Times New Roman"/>
          <w:sz w:val="24"/>
          <w:szCs w:val="24"/>
        </w:rPr>
        <w:t xml:space="preserve"> also process through Banner for 500 level course. </w:t>
      </w:r>
      <w:r w:rsidR="008510CA" w:rsidRPr="00D20A5F">
        <w:rPr>
          <w:rFonts w:ascii="Arial Narrow" w:hAnsi="Arial Narrow" w:cs="Times New Roman"/>
          <w:sz w:val="24"/>
          <w:szCs w:val="24"/>
        </w:rPr>
        <w:t>If we are seeking to optimize</w:t>
      </w:r>
      <w:r w:rsidR="0034287F" w:rsidRPr="00D20A5F">
        <w:rPr>
          <w:rFonts w:ascii="Arial Narrow" w:hAnsi="Arial Narrow" w:cs="Times New Roman"/>
          <w:sz w:val="24"/>
          <w:szCs w:val="24"/>
        </w:rPr>
        <w:t xml:space="preserve"> our resources to deliver </w:t>
      </w:r>
      <w:r w:rsidR="008510CA" w:rsidRPr="00D20A5F">
        <w:rPr>
          <w:rFonts w:ascii="Arial Narrow" w:hAnsi="Arial Narrow" w:cs="Times New Roman"/>
          <w:sz w:val="24"/>
          <w:szCs w:val="24"/>
        </w:rPr>
        <w:t xml:space="preserve">the </w:t>
      </w:r>
      <w:r w:rsidR="0034287F" w:rsidRPr="00D20A5F">
        <w:rPr>
          <w:rFonts w:ascii="Arial Narrow" w:hAnsi="Arial Narrow" w:cs="Times New Roman"/>
          <w:sz w:val="24"/>
          <w:szCs w:val="24"/>
        </w:rPr>
        <w:t xml:space="preserve">highest quality </w:t>
      </w:r>
      <w:r w:rsidR="008510CA" w:rsidRPr="00D20A5F">
        <w:rPr>
          <w:rFonts w:ascii="Arial Narrow" w:hAnsi="Arial Narrow" w:cs="Times New Roman"/>
          <w:sz w:val="24"/>
          <w:szCs w:val="24"/>
        </w:rPr>
        <w:t xml:space="preserve">CPE courses we first need to improve our understanding of </w:t>
      </w:r>
      <w:r w:rsidR="009C55BE">
        <w:rPr>
          <w:rFonts w:ascii="Arial Narrow" w:hAnsi="Arial Narrow" w:cs="Times New Roman"/>
          <w:sz w:val="24"/>
          <w:szCs w:val="24"/>
        </w:rPr>
        <w:t xml:space="preserve">the full level of resource contributed, revenues derived and shared outcomes </w:t>
      </w:r>
      <w:r w:rsidR="00D02EAA">
        <w:rPr>
          <w:rFonts w:ascii="Arial Narrow" w:hAnsi="Arial Narrow" w:cs="Times New Roman"/>
          <w:sz w:val="24"/>
          <w:szCs w:val="24"/>
        </w:rPr>
        <w:t>achieved;</w:t>
      </w:r>
      <w:r w:rsidR="009C55BE">
        <w:rPr>
          <w:rFonts w:ascii="Arial Narrow" w:hAnsi="Arial Narrow" w:cs="Times New Roman"/>
          <w:sz w:val="24"/>
          <w:szCs w:val="24"/>
        </w:rPr>
        <w:t xml:space="preserve"> none of this exists in a formal way.</w:t>
      </w:r>
      <w:r w:rsidR="008313A5">
        <w:rPr>
          <w:rFonts w:ascii="Arial Narrow" w:hAnsi="Arial Narrow" w:cs="Times New Roman"/>
          <w:sz w:val="24"/>
          <w:szCs w:val="24"/>
        </w:rPr>
        <w:t xml:space="preserve"> </w:t>
      </w:r>
    </w:p>
    <w:p w:rsidR="00FE0196" w:rsidRDefault="00FE0196" w:rsidP="007A238C">
      <w:pPr>
        <w:spacing w:after="0"/>
        <w:rPr>
          <w:rFonts w:ascii="Arial Narrow" w:hAnsi="Arial Narrow" w:cs="Times New Roman"/>
          <w:sz w:val="24"/>
          <w:szCs w:val="24"/>
        </w:rPr>
      </w:pPr>
    </w:p>
    <w:p w:rsidR="00FE0196" w:rsidRPr="00D20A5F" w:rsidRDefault="00FE0196" w:rsidP="007A238C">
      <w:pPr>
        <w:spacing w:after="0"/>
        <w:rPr>
          <w:rFonts w:ascii="Arial Narrow" w:hAnsi="Arial Narrow" w:cs="Times New Roman"/>
          <w:sz w:val="24"/>
          <w:szCs w:val="24"/>
        </w:rPr>
      </w:pPr>
      <w:r>
        <w:rPr>
          <w:rFonts w:ascii="Arial Narrow" w:hAnsi="Arial Narrow" w:cs="Times New Roman"/>
          <w:sz w:val="24"/>
          <w:szCs w:val="24"/>
        </w:rPr>
        <w:t xml:space="preserve">As proven by the UAA Center for Corporate and Professional Development, it is entirely possible to run a CPE unit with zero UGF contribution. It is however impossible to run such a unit long-term given a lack of shared UAA strategy and streamlined policies and procedures that support success. </w:t>
      </w:r>
      <w:r w:rsidR="00D02EAA">
        <w:rPr>
          <w:rFonts w:ascii="Arial Narrow" w:hAnsi="Arial Narrow" w:cs="Times New Roman"/>
          <w:sz w:val="24"/>
          <w:szCs w:val="24"/>
        </w:rPr>
        <w:t>Furthermore, significant disruption occurs</w:t>
      </w:r>
      <w:r>
        <w:rPr>
          <w:rFonts w:ascii="Arial Narrow" w:hAnsi="Arial Narrow" w:cs="Times New Roman"/>
          <w:sz w:val="24"/>
          <w:szCs w:val="24"/>
        </w:rPr>
        <w:t xml:space="preserve"> when administrative level transitions occur</w:t>
      </w:r>
      <w:r w:rsidR="00D02EAA">
        <w:rPr>
          <w:rFonts w:ascii="Arial Narrow" w:hAnsi="Arial Narrow" w:cs="Times New Roman"/>
          <w:sz w:val="24"/>
          <w:szCs w:val="24"/>
        </w:rPr>
        <w:t xml:space="preserve">, CPE requires a more formal </w:t>
      </w:r>
      <w:r>
        <w:rPr>
          <w:rFonts w:ascii="Arial Narrow" w:hAnsi="Arial Narrow" w:cs="Times New Roman"/>
          <w:sz w:val="24"/>
          <w:szCs w:val="24"/>
        </w:rPr>
        <w:t>existence.</w:t>
      </w:r>
    </w:p>
    <w:p w:rsidR="008510CA" w:rsidRPr="00D20A5F" w:rsidRDefault="008510CA" w:rsidP="007A238C">
      <w:pPr>
        <w:spacing w:after="0"/>
        <w:rPr>
          <w:rFonts w:ascii="Arial Narrow" w:hAnsi="Arial Narrow" w:cs="Times New Roman"/>
          <w:sz w:val="24"/>
          <w:szCs w:val="24"/>
        </w:rPr>
      </w:pPr>
    </w:p>
    <w:p w:rsidR="0034287F" w:rsidRPr="00D20A5F" w:rsidRDefault="0034287F" w:rsidP="0034287F">
      <w:pPr>
        <w:spacing w:after="0"/>
        <w:rPr>
          <w:rFonts w:ascii="Arial Narrow" w:hAnsi="Arial Narrow" w:cs="Times New Roman"/>
          <w:b/>
          <w:i/>
          <w:sz w:val="24"/>
          <w:szCs w:val="24"/>
        </w:rPr>
      </w:pPr>
      <w:r w:rsidRPr="00D20A5F">
        <w:rPr>
          <w:rFonts w:ascii="Arial Narrow" w:hAnsi="Arial Narrow" w:cs="Times New Roman"/>
          <w:b/>
          <w:i/>
          <w:sz w:val="24"/>
          <w:szCs w:val="24"/>
        </w:rPr>
        <w:t>Remove Existing Barriers:</w:t>
      </w:r>
    </w:p>
    <w:p w:rsidR="0034287F" w:rsidRPr="00D20A5F" w:rsidRDefault="008510CA" w:rsidP="002B1439">
      <w:pPr>
        <w:spacing w:after="0"/>
        <w:rPr>
          <w:rFonts w:ascii="Arial Narrow" w:hAnsi="Arial Narrow" w:cs="Times New Roman"/>
          <w:sz w:val="24"/>
          <w:szCs w:val="24"/>
        </w:rPr>
      </w:pPr>
      <w:r w:rsidRPr="00D20A5F">
        <w:rPr>
          <w:rFonts w:ascii="Arial Narrow" w:hAnsi="Arial Narrow" w:cs="Times New Roman"/>
          <w:sz w:val="24"/>
          <w:szCs w:val="24"/>
        </w:rPr>
        <w:t>Barriers currently exist that limit efficient and effective delivery of CPE courses</w:t>
      </w:r>
      <w:r w:rsidR="007A238C" w:rsidRPr="00D20A5F">
        <w:rPr>
          <w:rFonts w:ascii="Arial Narrow" w:hAnsi="Arial Narrow" w:cs="Times New Roman"/>
          <w:sz w:val="24"/>
          <w:szCs w:val="24"/>
        </w:rPr>
        <w:t xml:space="preserve">. </w:t>
      </w:r>
      <w:r w:rsidR="00957CA8" w:rsidRPr="00D20A5F">
        <w:rPr>
          <w:rFonts w:ascii="Arial Narrow" w:hAnsi="Arial Narrow" w:cs="Times New Roman"/>
          <w:sz w:val="24"/>
          <w:szCs w:val="24"/>
        </w:rPr>
        <w:t xml:space="preserve">Foremost, there needs to be a clear vision for CPE established from the UAA Chancellor level. </w:t>
      </w:r>
      <w:r w:rsidR="00B55EA9">
        <w:rPr>
          <w:rFonts w:ascii="Arial Narrow" w:hAnsi="Arial Narrow" w:cs="Times New Roman"/>
          <w:sz w:val="24"/>
          <w:szCs w:val="24"/>
        </w:rPr>
        <w:t xml:space="preserve">Secondarily, establishing a clear taxonomy of the full suite of CPE offerings including definitions will be helpful, particularly when coordinating with the Office of Academic Affairs. </w:t>
      </w:r>
      <w:r w:rsidR="00957CA8" w:rsidRPr="00D20A5F">
        <w:rPr>
          <w:rFonts w:ascii="Arial Narrow" w:hAnsi="Arial Narrow" w:cs="Times New Roman"/>
          <w:sz w:val="24"/>
          <w:szCs w:val="24"/>
        </w:rPr>
        <w:t>Given the current fiscal climate, this may not be the time to establish a new overarching CPE unit; however, establishing such would go a long way towards establishing common</w:t>
      </w:r>
      <w:r w:rsidR="00B55EA9">
        <w:rPr>
          <w:rFonts w:ascii="Arial Narrow" w:hAnsi="Arial Narrow" w:cs="Times New Roman"/>
          <w:sz w:val="24"/>
          <w:szCs w:val="24"/>
        </w:rPr>
        <w:t xml:space="preserve"> definitions,</w:t>
      </w:r>
      <w:r w:rsidR="00957CA8" w:rsidRPr="00D20A5F">
        <w:rPr>
          <w:rFonts w:ascii="Arial Narrow" w:hAnsi="Arial Narrow" w:cs="Times New Roman"/>
          <w:sz w:val="24"/>
          <w:szCs w:val="24"/>
        </w:rPr>
        <w:t xml:space="preserve"> practices, productivity measures, and quality control systems. As a starting point, it will be important for </w:t>
      </w:r>
      <w:r w:rsidR="0034287F" w:rsidRPr="00D20A5F">
        <w:rPr>
          <w:rFonts w:ascii="Arial Narrow" w:hAnsi="Arial Narrow" w:cs="Times New Roman"/>
          <w:sz w:val="24"/>
          <w:szCs w:val="24"/>
        </w:rPr>
        <w:t xml:space="preserve">UAA </w:t>
      </w:r>
      <w:r w:rsidRPr="00D20A5F">
        <w:rPr>
          <w:rFonts w:ascii="Arial Narrow" w:hAnsi="Arial Narrow" w:cs="Times New Roman"/>
          <w:sz w:val="24"/>
          <w:szCs w:val="24"/>
        </w:rPr>
        <w:t xml:space="preserve">to explore the full value stream associated with CPE delivery and intentionally establish more streamlined processes and procedures across all CPE offering units. Examples of inefficiencies </w:t>
      </w:r>
      <w:r w:rsidR="00D02EAA" w:rsidRPr="00D20A5F">
        <w:rPr>
          <w:rFonts w:ascii="Arial Narrow" w:hAnsi="Arial Narrow" w:cs="Times New Roman"/>
          <w:sz w:val="24"/>
          <w:szCs w:val="24"/>
        </w:rPr>
        <w:t>include</w:t>
      </w:r>
      <w:r w:rsidRPr="00D20A5F">
        <w:rPr>
          <w:rFonts w:ascii="Arial Narrow" w:hAnsi="Arial Narrow" w:cs="Times New Roman"/>
          <w:sz w:val="24"/>
          <w:szCs w:val="24"/>
        </w:rPr>
        <w:t xml:space="preserve"> hiring of faculty, maintenance of </w:t>
      </w:r>
      <w:r w:rsidR="00957CA8" w:rsidRPr="00D20A5F">
        <w:rPr>
          <w:rFonts w:ascii="Arial Narrow" w:hAnsi="Arial Narrow" w:cs="Times New Roman"/>
          <w:sz w:val="24"/>
          <w:szCs w:val="24"/>
        </w:rPr>
        <w:t xml:space="preserve">transcripts or </w:t>
      </w:r>
      <w:r w:rsidR="0034287F" w:rsidRPr="00D20A5F">
        <w:rPr>
          <w:rFonts w:ascii="Arial Narrow" w:hAnsi="Arial Narrow" w:cs="Times New Roman"/>
          <w:sz w:val="24"/>
          <w:szCs w:val="24"/>
        </w:rPr>
        <w:t>“records of attendance” f</w:t>
      </w:r>
      <w:r w:rsidR="002B1439" w:rsidRPr="00D20A5F">
        <w:rPr>
          <w:rFonts w:ascii="Arial Narrow" w:hAnsi="Arial Narrow" w:cs="Times New Roman"/>
          <w:sz w:val="24"/>
          <w:szCs w:val="24"/>
        </w:rPr>
        <w:t xml:space="preserve">or non-credit and CEU offerings, </w:t>
      </w:r>
      <w:r w:rsidR="00957CA8" w:rsidRPr="00D20A5F">
        <w:rPr>
          <w:rFonts w:ascii="Arial Narrow" w:hAnsi="Arial Narrow" w:cs="Times New Roman"/>
          <w:sz w:val="24"/>
          <w:szCs w:val="24"/>
        </w:rPr>
        <w:t>paperwork processing</w:t>
      </w:r>
      <w:r w:rsidR="002B1439" w:rsidRPr="00D20A5F">
        <w:rPr>
          <w:rFonts w:ascii="Arial Narrow" w:hAnsi="Arial Narrow" w:cs="Times New Roman"/>
          <w:sz w:val="24"/>
          <w:szCs w:val="24"/>
        </w:rPr>
        <w:t xml:space="preserve">, and </w:t>
      </w:r>
      <w:r w:rsidR="00957CA8" w:rsidRPr="00D20A5F">
        <w:rPr>
          <w:rFonts w:ascii="Arial Narrow" w:hAnsi="Arial Narrow" w:cs="Times New Roman"/>
          <w:sz w:val="24"/>
          <w:szCs w:val="24"/>
        </w:rPr>
        <w:t>marketing via a collective brand</w:t>
      </w:r>
      <w:r w:rsidR="002B1439" w:rsidRPr="00D20A5F">
        <w:rPr>
          <w:rFonts w:ascii="Arial Narrow" w:hAnsi="Arial Narrow" w:cs="Times New Roman"/>
          <w:sz w:val="24"/>
          <w:szCs w:val="24"/>
        </w:rPr>
        <w:t xml:space="preserve">. </w:t>
      </w:r>
      <w:r w:rsidR="00BA1C27" w:rsidRPr="00D20A5F">
        <w:rPr>
          <w:rFonts w:ascii="Arial Narrow" w:hAnsi="Arial Narrow" w:cs="Times New Roman"/>
          <w:sz w:val="24"/>
          <w:szCs w:val="24"/>
        </w:rPr>
        <w:t xml:space="preserve"> </w:t>
      </w:r>
      <w:r w:rsidR="00957CA8" w:rsidRPr="00D20A5F">
        <w:rPr>
          <w:rFonts w:ascii="Arial Narrow" w:hAnsi="Arial Narrow" w:cs="Times New Roman"/>
          <w:sz w:val="24"/>
          <w:szCs w:val="24"/>
        </w:rPr>
        <w:t>Based on our peer review, there are ways to</w:t>
      </w:r>
      <w:r w:rsidR="00BA1C27" w:rsidRPr="00D20A5F">
        <w:rPr>
          <w:rFonts w:ascii="Arial Narrow" w:hAnsi="Arial Narrow" w:cs="Times New Roman"/>
          <w:sz w:val="24"/>
          <w:szCs w:val="24"/>
        </w:rPr>
        <w:t xml:space="preserve"> centralize </w:t>
      </w:r>
      <w:r w:rsidR="00957CA8" w:rsidRPr="00D20A5F">
        <w:rPr>
          <w:rFonts w:ascii="Arial Narrow" w:hAnsi="Arial Narrow" w:cs="Times New Roman"/>
          <w:sz w:val="24"/>
          <w:szCs w:val="24"/>
        </w:rPr>
        <w:t>the “back-office”</w:t>
      </w:r>
      <w:r w:rsidR="00BA1C27" w:rsidRPr="00D20A5F">
        <w:rPr>
          <w:rFonts w:ascii="Arial Narrow" w:hAnsi="Arial Narrow" w:cs="Times New Roman"/>
          <w:sz w:val="24"/>
          <w:szCs w:val="24"/>
        </w:rPr>
        <w:t xml:space="preserve"> without preventing colleges and com</w:t>
      </w:r>
      <w:r w:rsidR="00F91AF2" w:rsidRPr="00D20A5F">
        <w:rPr>
          <w:rFonts w:ascii="Arial Narrow" w:hAnsi="Arial Narrow" w:cs="Times New Roman"/>
          <w:sz w:val="24"/>
          <w:szCs w:val="24"/>
        </w:rPr>
        <w:t xml:space="preserve">munity campuses from responding to their specific community needs, i.e. Kodiak and maritime training. </w:t>
      </w:r>
      <w:r w:rsidR="00957CA8" w:rsidRPr="00D20A5F">
        <w:rPr>
          <w:rFonts w:ascii="Arial Narrow" w:hAnsi="Arial Narrow" w:cs="Times New Roman"/>
          <w:sz w:val="24"/>
          <w:szCs w:val="24"/>
        </w:rPr>
        <w:t xml:space="preserve">However, </w:t>
      </w:r>
      <w:r w:rsidR="00D02EAA">
        <w:rPr>
          <w:rFonts w:ascii="Arial Narrow" w:hAnsi="Arial Narrow" w:cs="Times New Roman"/>
          <w:sz w:val="24"/>
          <w:szCs w:val="24"/>
        </w:rPr>
        <w:t>formal centralization of</w:t>
      </w:r>
      <w:r w:rsidR="00957CA8" w:rsidRPr="00D20A5F">
        <w:rPr>
          <w:rFonts w:ascii="Arial Narrow" w:hAnsi="Arial Narrow" w:cs="Times New Roman"/>
          <w:sz w:val="24"/>
          <w:szCs w:val="24"/>
        </w:rPr>
        <w:t xml:space="preserve"> licensure offerings or commonly demanded courses such as leadership and </w:t>
      </w:r>
      <w:r w:rsidR="00F91AF2" w:rsidRPr="00D20A5F">
        <w:rPr>
          <w:rFonts w:ascii="Arial Narrow" w:hAnsi="Arial Narrow" w:cs="Times New Roman"/>
          <w:sz w:val="24"/>
          <w:szCs w:val="24"/>
        </w:rPr>
        <w:t>executive training, regardless of where offered</w:t>
      </w:r>
      <w:r w:rsidR="00D02EAA">
        <w:rPr>
          <w:rFonts w:ascii="Arial Narrow" w:hAnsi="Arial Narrow" w:cs="Times New Roman"/>
          <w:sz w:val="24"/>
          <w:szCs w:val="24"/>
        </w:rPr>
        <w:t xml:space="preserve"> is recommended</w:t>
      </w:r>
      <w:r w:rsidR="00F91AF2" w:rsidRPr="00D20A5F">
        <w:rPr>
          <w:rFonts w:ascii="Arial Narrow" w:hAnsi="Arial Narrow" w:cs="Times New Roman"/>
          <w:sz w:val="24"/>
          <w:szCs w:val="24"/>
        </w:rPr>
        <w:t xml:space="preserve">. </w:t>
      </w:r>
      <w:r w:rsidR="00957CA8" w:rsidRPr="00D20A5F">
        <w:rPr>
          <w:rFonts w:ascii="Arial Narrow" w:hAnsi="Arial Narrow" w:cs="Times New Roman"/>
          <w:sz w:val="24"/>
          <w:szCs w:val="24"/>
        </w:rPr>
        <w:t xml:space="preserve">Once a more formal vision and brand is </w:t>
      </w:r>
      <w:r w:rsidR="00D02EAA" w:rsidRPr="00D20A5F">
        <w:rPr>
          <w:rFonts w:ascii="Arial Narrow" w:hAnsi="Arial Narrow" w:cs="Times New Roman"/>
          <w:sz w:val="24"/>
          <w:szCs w:val="24"/>
        </w:rPr>
        <w:t>established,</w:t>
      </w:r>
      <w:r w:rsidR="00957CA8" w:rsidRPr="00D20A5F">
        <w:rPr>
          <w:rFonts w:ascii="Arial Narrow" w:hAnsi="Arial Narrow" w:cs="Times New Roman"/>
          <w:sz w:val="24"/>
          <w:szCs w:val="24"/>
        </w:rPr>
        <w:t xml:space="preserve"> the</w:t>
      </w:r>
      <w:r w:rsidR="00F91AF2" w:rsidRPr="00D20A5F">
        <w:rPr>
          <w:rFonts w:ascii="Arial Narrow" w:hAnsi="Arial Narrow" w:cs="Times New Roman"/>
          <w:sz w:val="24"/>
          <w:szCs w:val="24"/>
        </w:rPr>
        <w:t xml:space="preserve"> UAA CPE website can </w:t>
      </w:r>
      <w:r w:rsidR="00D02EAA">
        <w:rPr>
          <w:rFonts w:ascii="Arial Narrow" w:hAnsi="Arial Narrow" w:cs="Times New Roman"/>
          <w:sz w:val="24"/>
          <w:szCs w:val="24"/>
        </w:rPr>
        <w:t>better</w:t>
      </w:r>
      <w:r w:rsidR="00F91AF2" w:rsidRPr="00D20A5F">
        <w:rPr>
          <w:rFonts w:ascii="Arial Narrow" w:hAnsi="Arial Narrow" w:cs="Times New Roman"/>
          <w:sz w:val="24"/>
          <w:szCs w:val="24"/>
        </w:rPr>
        <w:t xml:space="preserve"> highlight areas of expertise, professional re-licensure offerings, and corporate training events.</w:t>
      </w:r>
    </w:p>
    <w:p w:rsidR="0034287F" w:rsidRPr="00D20A5F" w:rsidRDefault="0034287F" w:rsidP="0034287F">
      <w:pPr>
        <w:spacing w:after="0"/>
        <w:rPr>
          <w:rFonts w:ascii="Arial Narrow" w:hAnsi="Arial Narrow" w:cs="Times New Roman"/>
          <w:sz w:val="24"/>
          <w:szCs w:val="24"/>
        </w:rPr>
      </w:pPr>
    </w:p>
    <w:p w:rsidR="0034287F" w:rsidRPr="00D20A5F" w:rsidRDefault="0034287F" w:rsidP="0034287F">
      <w:pPr>
        <w:spacing w:after="0"/>
        <w:rPr>
          <w:rFonts w:ascii="Arial Narrow" w:hAnsi="Arial Narrow" w:cs="Times New Roman"/>
          <w:b/>
          <w:i/>
          <w:sz w:val="24"/>
          <w:szCs w:val="24"/>
        </w:rPr>
      </w:pPr>
      <w:r w:rsidRPr="00D20A5F">
        <w:rPr>
          <w:rFonts w:ascii="Arial Narrow" w:hAnsi="Arial Narrow" w:cs="Times New Roman"/>
          <w:b/>
          <w:i/>
          <w:sz w:val="24"/>
          <w:szCs w:val="24"/>
        </w:rPr>
        <w:t>Be Responsive</w:t>
      </w:r>
      <w:r w:rsidR="00E04A6B" w:rsidRPr="00D20A5F">
        <w:rPr>
          <w:rFonts w:ascii="Arial Narrow" w:hAnsi="Arial Narrow" w:cs="Times New Roman"/>
          <w:b/>
          <w:i/>
          <w:sz w:val="24"/>
          <w:szCs w:val="24"/>
        </w:rPr>
        <w:t>/Quality Matters</w:t>
      </w:r>
      <w:r w:rsidRPr="00D20A5F">
        <w:rPr>
          <w:rFonts w:ascii="Arial Narrow" w:hAnsi="Arial Narrow" w:cs="Times New Roman"/>
          <w:b/>
          <w:i/>
          <w:sz w:val="24"/>
          <w:szCs w:val="24"/>
        </w:rPr>
        <w:t>:</w:t>
      </w:r>
    </w:p>
    <w:p w:rsidR="0034287F" w:rsidRPr="00D20A5F" w:rsidRDefault="00BA1C27" w:rsidP="00F91AF2">
      <w:pPr>
        <w:spacing w:after="0"/>
        <w:rPr>
          <w:rFonts w:ascii="Arial Narrow" w:hAnsi="Arial Narrow" w:cs="Times New Roman"/>
          <w:sz w:val="24"/>
          <w:szCs w:val="24"/>
        </w:rPr>
      </w:pPr>
      <w:r w:rsidRPr="00D20A5F">
        <w:rPr>
          <w:rFonts w:ascii="Arial Narrow" w:hAnsi="Arial Narrow" w:cs="Times New Roman"/>
          <w:sz w:val="24"/>
          <w:szCs w:val="24"/>
        </w:rPr>
        <w:t xml:space="preserve">Addressing barriers will allow UAA to become more responsive. CPE units at our peer institutions indicate they are </w:t>
      </w:r>
      <w:r w:rsidR="0002103C" w:rsidRPr="00D20A5F">
        <w:rPr>
          <w:rFonts w:ascii="Arial Narrow" w:hAnsi="Arial Narrow" w:cs="Times New Roman"/>
          <w:sz w:val="24"/>
          <w:szCs w:val="24"/>
        </w:rPr>
        <w:t>laser focused on being</w:t>
      </w:r>
      <w:r w:rsidRPr="00D20A5F">
        <w:rPr>
          <w:rFonts w:ascii="Arial Narrow" w:hAnsi="Arial Narrow" w:cs="Times New Roman"/>
          <w:sz w:val="24"/>
          <w:szCs w:val="24"/>
        </w:rPr>
        <w:t xml:space="preserve"> flexible and responsive.  </w:t>
      </w:r>
      <w:r w:rsidR="0034287F" w:rsidRPr="00D20A5F">
        <w:rPr>
          <w:rFonts w:ascii="Arial Narrow" w:hAnsi="Arial Narrow" w:cs="Times New Roman"/>
          <w:sz w:val="24"/>
          <w:szCs w:val="24"/>
        </w:rPr>
        <w:t xml:space="preserve">If we are to become the </w:t>
      </w:r>
      <w:r w:rsidR="0002103C" w:rsidRPr="00D20A5F">
        <w:rPr>
          <w:rFonts w:ascii="Arial Narrow" w:hAnsi="Arial Narrow" w:cs="Times New Roman"/>
          <w:sz w:val="24"/>
          <w:szCs w:val="24"/>
        </w:rPr>
        <w:t>preferred provider of CPE</w:t>
      </w:r>
      <w:r w:rsidR="0034287F" w:rsidRPr="00D20A5F">
        <w:rPr>
          <w:rFonts w:ascii="Arial Narrow" w:hAnsi="Arial Narrow" w:cs="Times New Roman"/>
          <w:sz w:val="24"/>
          <w:szCs w:val="24"/>
        </w:rPr>
        <w:t xml:space="preserve"> we must </w:t>
      </w:r>
      <w:r w:rsidR="0002103C" w:rsidRPr="00D20A5F">
        <w:rPr>
          <w:rFonts w:ascii="Arial Narrow" w:hAnsi="Arial Narrow" w:cs="Times New Roman"/>
          <w:sz w:val="24"/>
          <w:szCs w:val="24"/>
        </w:rPr>
        <w:t>first consistently</w:t>
      </w:r>
      <w:r w:rsidR="0034287F" w:rsidRPr="00D20A5F">
        <w:rPr>
          <w:rFonts w:ascii="Arial Narrow" w:hAnsi="Arial Narrow" w:cs="Times New Roman"/>
          <w:sz w:val="24"/>
          <w:szCs w:val="24"/>
        </w:rPr>
        <w:t xml:space="preserve"> provide </w:t>
      </w:r>
      <w:r w:rsidR="0002103C" w:rsidRPr="00D20A5F">
        <w:rPr>
          <w:rFonts w:ascii="Arial Narrow" w:hAnsi="Arial Narrow" w:cs="Times New Roman"/>
          <w:sz w:val="24"/>
          <w:szCs w:val="24"/>
        </w:rPr>
        <w:t xml:space="preserve">CPE offerings </w:t>
      </w:r>
      <w:r w:rsidR="0034287F" w:rsidRPr="00D20A5F">
        <w:rPr>
          <w:rFonts w:ascii="Arial Narrow" w:hAnsi="Arial Narrow" w:cs="Times New Roman"/>
          <w:sz w:val="24"/>
          <w:szCs w:val="24"/>
        </w:rPr>
        <w:t>where they are needed, i.e. licensure, CEUs, etc.</w:t>
      </w:r>
      <w:r w:rsidR="00F91AF2" w:rsidRPr="00D20A5F">
        <w:rPr>
          <w:rFonts w:ascii="Arial Narrow" w:hAnsi="Arial Narrow" w:cs="Times New Roman"/>
          <w:sz w:val="24"/>
          <w:szCs w:val="24"/>
        </w:rPr>
        <w:t xml:space="preserve">, </w:t>
      </w:r>
      <w:r w:rsidR="00957CA8" w:rsidRPr="00D20A5F">
        <w:rPr>
          <w:rFonts w:ascii="Arial Narrow" w:hAnsi="Arial Narrow" w:cs="Times New Roman"/>
          <w:sz w:val="24"/>
          <w:szCs w:val="24"/>
        </w:rPr>
        <w:t xml:space="preserve">and simultaneously we must recognize that we cannot provide </w:t>
      </w:r>
      <w:r w:rsidR="0002103C" w:rsidRPr="00D20A5F">
        <w:rPr>
          <w:rFonts w:ascii="Arial Narrow" w:hAnsi="Arial Narrow" w:cs="Times New Roman"/>
          <w:sz w:val="24"/>
          <w:szCs w:val="24"/>
        </w:rPr>
        <w:t>everythin</w:t>
      </w:r>
      <w:r w:rsidR="0034287F" w:rsidRPr="00D20A5F">
        <w:rPr>
          <w:rFonts w:ascii="Arial Narrow" w:hAnsi="Arial Narrow" w:cs="Times New Roman"/>
          <w:sz w:val="24"/>
          <w:szCs w:val="24"/>
        </w:rPr>
        <w:t>g for everyone.</w:t>
      </w:r>
      <w:r w:rsidR="00E04A6B" w:rsidRPr="00D20A5F">
        <w:rPr>
          <w:rFonts w:ascii="Arial Narrow" w:hAnsi="Arial Narrow" w:cs="Times New Roman"/>
          <w:sz w:val="24"/>
          <w:szCs w:val="24"/>
        </w:rPr>
        <w:t xml:space="preserve"> </w:t>
      </w:r>
      <w:r w:rsidR="00B55EA9">
        <w:rPr>
          <w:rFonts w:ascii="Arial Narrow" w:hAnsi="Arial Narrow" w:cs="Times New Roman"/>
          <w:sz w:val="24"/>
          <w:szCs w:val="24"/>
        </w:rPr>
        <w:t xml:space="preserve">While much has improved, CPE offerings at UAA follow a similar process as for-credit courses, a process established by the Office of Academic Affairs. We currently have limited flexibility and UAA’s thoughts regarding course content supersede </w:t>
      </w:r>
      <w:r w:rsidR="00D02EAA">
        <w:rPr>
          <w:rFonts w:ascii="Arial Narrow" w:hAnsi="Arial Narrow" w:cs="Times New Roman"/>
          <w:sz w:val="24"/>
          <w:szCs w:val="24"/>
        </w:rPr>
        <w:t>clients</w:t>
      </w:r>
      <w:r w:rsidR="00B55EA9">
        <w:rPr>
          <w:rFonts w:ascii="Arial Narrow" w:hAnsi="Arial Narrow" w:cs="Times New Roman"/>
          <w:sz w:val="24"/>
          <w:szCs w:val="24"/>
        </w:rPr>
        <w:t xml:space="preserve">. </w:t>
      </w:r>
      <w:r w:rsidR="0002103C" w:rsidRPr="00D20A5F">
        <w:rPr>
          <w:rFonts w:ascii="Arial Narrow" w:hAnsi="Arial Narrow" w:cs="Times New Roman"/>
          <w:sz w:val="24"/>
          <w:szCs w:val="24"/>
        </w:rPr>
        <w:t xml:space="preserve">In addition to </w:t>
      </w:r>
      <w:r w:rsidR="00D02EAA">
        <w:rPr>
          <w:rFonts w:ascii="Arial Narrow" w:hAnsi="Arial Narrow" w:cs="Times New Roman"/>
          <w:sz w:val="24"/>
          <w:szCs w:val="24"/>
        </w:rPr>
        <w:t>increasing</w:t>
      </w:r>
      <w:r w:rsidR="00B55EA9">
        <w:rPr>
          <w:rFonts w:ascii="Arial Narrow" w:hAnsi="Arial Narrow" w:cs="Times New Roman"/>
          <w:sz w:val="24"/>
          <w:szCs w:val="24"/>
        </w:rPr>
        <w:t xml:space="preserve"> responsive</w:t>
      </w:r>
      <w:r w:rsidR="00D02EAA">
        <w:rPr>
          <w:rFonts w:ascii="Arial Narrow" w:hAnsi="Arial Narrow" w:cs="Times New Roman"/>
          <w:sz w:val="24"/>
          <w:szCs w:val="24"/>
        </w:rPr>
        <w:t>ness</w:t>
      </w:r>
      <w:r w:rsidR="00B55EA9">
        <w:rPr>
          <w:rFonts w:ascii="Arial Narrow" w:hAnsi="Arial Narrow" w:cs="Times New Roman"/>
          <w:sz w:val="24"/>
          <w:szCs w:val="24"/>
        </w:rPr>
        <w:t xml:space="preserve"> and providing </w:t>
      </w:r>
      <w:r w:rsidR="0002103C" w:rsidRPr="00D20A5F">
        <w:rPr>
          <w:rFonts w:ascii="Arial Narrow" w:hAnsi="Arial Narrow" w:cs="Times New Roman"/>
          <w:sz w:val="24"/>
          <w:szCs w:val="24"/>
        </w:rPr>
        <w:t>the correct mix of offerings</w:t>
      </w:r>
      <w:r w:rsidR="00B55EA9">
        <w:rPr>
          <w:rFonts w:ascii="Arial Narrow" w:hAnsi="Arial Narrow" w:cs="Times New Roman"/>
          <w:sz w:val="24"/>
          <w:szCs w:val="24"/>
        </w:rPr>
        <w:t>,</w:t>
      </w:r>
      <w:r w:rsidR="0002103C" w:rsidRPr="00D20A5F">
        <w:rPr>
          <w:rFonts w:ascii="Arial Narrow" w:hAnsi="Arial Narrow" w:cs="Times New Roman"/>
          <w:sz w:val="24"/>
          <w:szCs w:val="24"/>
        </w:rPr>
        <w:t xml:space="preserve"> we need to likewise ensure </w:t>
      </w:r>
      <w:r w:rsidR="00670C7C">
        <w:rPr>
          <w:rFonts w:ascii="Arial Narrow" w:hAnsi="Arial Narrow" w:cs="Times New Roman"/>
          <w:sz w:val="24"/>
          <w:szCs w:val="24"/>
        </w:rPr>
        <w:t>pricing</w:t>
      </w:r>
      <w:r w:rsidR="0002103C" w:rsidRPr="00D20A5F">
        <w:rPr>
          <w:rFonts w:ascii="Arial Narrow" w:hAnsi="Arial Narrow" w:cs="Times New Roman"/>
          <w:sz w:val="24"/>
          <w:szCs w:val="24"/>
        </w:rPr>
        <w:t xml:space="preserve"> and </w:t>
      </w:r>
      <w:r w:rsidR="00670C7C">
        <w:rPr>
          <w:rFonts w:ascii="Arial Narrow" w:hAnsi="Arial Narrow" w:cs="Times New Roman"/>
          <w:sz w:val="24"/>
          <w:szCs w:val="24"/>
        </w:rPr>
        <w:t>relevancy to our</w:t>
      </w:r>
      <w:r w:rsidR="0002103C" w:rsidRPr="00D20A5F">
        <w:rPr>
          <w:rFonts w:ascii="Arial Narrow" w:hAnsi="Arial Narrow" w:cs="Times New Roman"/>
          <w:sz w:val="24"/>
          <w:szCs w:val="24"/>
        </w:rPr>
        <w:t xml:space="preserve"> marketplace. Ultimately, </w:t>
      </w:r>
      <w:r w:rsidR="00E04A6B" w:rsidRPr="00D20A5F">
        <w:rPr>
          <w:rFonts w:ascii="Arial Narrow" w:hAnsi="Arial Narrow" w:cs="Times New Roman"/>
          <w:sz w:val="24"/>
          <w:szCs w:val="24"/>
        </w:rPr>
        <w:t xml:space="preserve">UAA’s reputation is </w:t>
      </w:r>
      <w:r w:rsidR="0002103C" w:rsidRPr="00D20A5F">
        <w:rPr>
          <w:rFonts w:ascii="Arial Narrow" w:hAnsi="Arial Narrow" w:cs="Times New Roman"/>
          <w:sz w:val="24"/>
          <w:szCs w:val="24"/>
        </w:rPr>
        <w:t xml:space="preserve">closely </w:t>
      </w:r>
      <w:r w:rsidR="00E04A6B" w:rsidRPr="00D20A5F">
        <w:rPr>
          <w:rFonts w:ascii="Arial Narrow" w:hAnsi="Arial Narrow" w:cs="Times New Roman"/>
          <w:sz w:val="24"/>
          <w:szCs w:val="24"/>
        </w:rPr>
        <w:t xml:space="preserve">tied to </w:t>
      </w:r>
      <w:r w:rsidR="0002103C" w:rsidRPr="00D20A5F">
        <w:rPr>
          <w:rFonts w:ascii="Arial Narrow" w:hAnsi="Arial Narrow" w:cs="Times New Roman"/>
          <w:sz w:val="24"/>
          <w:szCs w:val="24"/>
        </w:rPr>
        <w:t>each units</w:t>
      </w:r>
      <w:r w:rsidR="00107CDF">
        <w:rPr>
          <w:rFonts w:ascii="Arial Narrow" w:hAnsi="Arial Narrow" w:cs="Times New Roman"/>
          <w:sz w:val="24"/>
          <w:szCs w:val="24"/>
        </w:rPr>
        <w:t>’</w:t>
      </w:r>
      <w:r w:rsidR="00E04A6B" w:rsidRPr="00D20A5F">
        <w:rPr>
          <w:rFonts w:ascii="Arial Narrow" w:hAnsi="Arial Narrow" w:cs="Times New Roman"/>
          <w:sz w:val="24"/>
          <w:szCs w:val="24"/>
        </w:rPr>
        <w:t xml:space="preserve"> ability to deliver high-quality </w:t>
      </w:r>
      <w:r w:rsidR="00670C7C">
        <w:rPr>
          <w:rFonts w:ascii="Arial Narrow" w:hAnsi="Arial Narrow" w:cs="Times New Roman"/>
          <w:sz w:val="24"/>
          <w:szCs w:val="24"/>
        </w:rPr>
        <w:t>CPE,</w:t>
      </w:r>
      <w:r w:rsidR="0002103C" w:rsidRPr="00D20A5F">
        <w:rPr>
          <w:rFonts w:ascii="Arial Narrow" w:hAnsi="Arial Narrow" w:cs="Times New Roman"/>
          <w:sz w:val="24"/>
          <w:szCs w:val="24"/>
        </w:rPr>
        <w:t xml:space="preserve"> we can no longer afford to run CPE through a fully decentralized model paying limited attention to </w:t>
      </w:r>
      <w:r w:rsidR="00B55EA9">
        <w:rPr>
          <w:rFonts w:ascii="Arial Narrow" w:hAnsi="Arial Narrow" w:cs="Times New Roman"/>
          <w:sz w:val="24"/>
          <w:szCs w:val="24"/>
        </w:rPr>
        <w:t>how decentralization is experienced by our shared customers</w:t>
      </w:r>
      <w:r w:rsidR="00E04A6B" w:rsidRPr="00D20A5F">
        <w:rPr>
          <w:rFonts w:ascii="Arial Narrow" w:hAnsi="Arial Narrow" w:cs="Times New Roman"/>
          <w:sz w:val="24"/>
          <w:szCs w:val="24"/>
        </w:rPr>
        <w:t>.</w:t>
      </w:r>
      <w:r w:rsidR="00107CDF">
        <w:rPr>
          <w:rFonts w:ascii="Arial Narrow" w:hAnsi="Arial Narrow" w:cs="Times New Roman"/>
          <w:sz w:val="24"/>
          <w:szCs w:val="24"/>
        </w:rPr>
        <w:t xml:space="preserve"> </w:t>
      </w:r>
      <w:r w:rsidR="00B55EA9">
        <w:rPr>
          <w:rFonts w:ascii="Arial Narrow" w:hAnsi="Arial Narrow" w:cs="Times New Roman"/>
          <w:sz w:val="24"/>
          <w:szCs w:val="24"/>
        </w:rPr>
        <w:t>Pricing, flexibility and responsiveness should be consistent across each client sector.</w:t>
      </w:r>
    </w:p>
    <w:p w:rsidR="0034287F" w:rsidRPr="00D20A5F" w:rsidRDefault="0034287F" w:rsidP="0034287F">
      <w:pPr>
        <w:spacing w:after="0"/>
        <w:rPr>
          <w:rFonts w:ascii="Arial Narrow" w:hAnsi="Arial Narrow" w:cs="Times New Roman"/>
          <w:sz w:val="24"/>
          <w:szCs w:val="24"/>
        </w:rPr>
      </w:pPr>
    </w:p>
    <w:p w:rsidR="0034287F" w:rsidRPr="00F414A7" w:rsidRDefault="004F1856" w:rsidP="00F414A7">
      <w:pPr>
        <w:spacing w:after="0" w:line="360" w:lineRule="auto"/>
        <w:rPr>
          <w:rFonts w:ascii="Arial Narrow" w:hAnsi="Arial Narrow" w:cs="Times New Roman"/>
          <w:b/>
          <w:sz w:val="32"/>
          <w:szCs w:val="32"/>
        </w:rPr>
      </w:pPr>
      <w:r w:rsidRPr="00F414A7">
        <w:rPr>
          <w:rFonts w:ascii="Arial Narrow" w:hAnsi="Arial Narrow" w:cs="Times New Roman"/>
          <w:b/>
          <w:sz w:val="32"/>
          <w:szCs w:val="32"/>
        </w:rPr>
        <w:lastRenderedPageBreak/>
        <w:t>Next Steps</w:t>
      </w:r>
    </w:p>
    <w:p w:rsidR="00B51434" w:rsidRDefault="0002103C" w:rsidP="0002103C">
      <w:pPr>
        <w:spacing w:after="0"/>
        <w:rPr>
          <w:rFonts w:ascii="Arial Narrow" w:hAnsi="Arial Narrow" w:cs="Times New Roman"/>
          <w:sz w:val="24"/>
          <w:szCs w:val="24"/>
        </w:rPr>
      </w:pPr>
      <w:r w:rsidRPr="00D20A5F">
        <w:rPr>
          <w:rFonts w:ascii="Arial Narrow" w:hAnsi="Arial Narrow" w:cs="Times New Roman"/>
          <w:sz w:val="24"/>
          <w:szCs w:val="24"/>
        </w:rPr>
        <w:t>Establish a vision</w:t>
      </w:r>
      <w:r w:rsidR="006D52DF">
        <w:rPr>
          <w:rFonts w:ascii="Arial Narrow" w:hAnsi="Arial Narrow" w:cs="Times New Roman"/>
          <w:sz w:val="24"/>
          <w:szCs w:val="24"/>
        </w:rPr>
        <w:t>, guiding principles, definition for success and roadmap</w:t>
      </w:r>
      <w:r w:rsidRPr="00D20A5F">
        <w:rPr>
          <w:rFonts w:ascii="Arial Narrow" w:hAnsi="Arial Narrow" w:cs="Times New Roman"/>
          <w:sz w:val="24"/>
          <w:szCs w:val="24"/>
        </w:rPr>
        <w:t xml:space="preserve">. </w:t>
      </w:r>
      <w:r w:rsidR="0034287F" w:rsidRPr="00D20A5F">
        <w:rPr>
          <w:rFonts w:ascii="Arial Narrow" w:hAnsi="Arial Narrow" w:cs="Times New Roman"/>
          <w:sz w:val="24"/>
          <w:szCs w:val="24"/>
        </w:rPr>
        <w:t xml:space="preserve">UAA </w:t>
      </w:r>
      <w:r w:rsidRPr="00D20A5F">
        <w:rPr>
          <w:rFonts w:ascii="Arial Narrow" w:hAnsi="Arial Narrow" w:cs="Times New Roman"/>
          <w:sz w:val="24"/>
          <w:szCs w:val="24"/>
        </w:rPr>
        <w:t xml:space="preserve">is ready for a clear CPE </w:t>
      </w:r>
      <w:r w:rsidR="00F91AF2" w:rsidRPr="00D20A5F">
        <w:rPr>
          <w:rFonts w:ascii="Arial Narrow" w:hAnsi="Arial Narrow" w:cs="Times New Roman"/>
          <w:sz w:val="24"/>
          <w:szCs w:val="24"/>
        </w:rPr>
        <w:t>vision</w:t>
      </w:r>
      <w:r w:rsidR="006D52DF">
        <w:rPr>
          <w:rFonts w:ascii="Arial Narrow" w:hAnsi="Arial Narrow" w:cs="Times New Roman"/>
          <w:sz w:val="24"/>
          <w:szCs w:val="24"/>
        </w:rPr>
        <w:t>, establishment of guiding principles</w:t>
      </w:r>
      <w:r w:rsidR="00F91AF2" w:rsidRPr="00D20A5F">
        <w:rPr>
          <w:rFonts w:ascii="Arial Narrow" w:hAnsi="Arial Narrow" w:cs="Times New Roman"/>
          <w:sz w:val="24"/>
          <w:szCs w:val="24"/>
        </w:rPr>
        <w:t xml:space="preserve"> </w:t>
      </w:r>
      <w:r w:rsidRPr="00D20A5F">
        <w:rPr>
          <w:rFonts w:ascii="Arial Narrow" w:hAnsi="Arial Narrow" w:cs="Times New Roman"/>
          <w:sz w:val="24"/>
          <w:szCs w:val="24"/>
        </w:rPr>
        <w:t>as well as a roadmap to ensure UAA becomes the preferred provider for all CPE in Alaska</w:t>
      </w:r>
      <w:r w:rsidR="0034287F" w:rsidRPr="00D20A5F">
        <w:rPr>
          <w:rFonts w:ascii="Arial Narrow" w:hAnsi="Arial Narrow" w:cs="Times New Roman"/>
          <w:sz w:val="24"/>
          <w:szCs w:val="24"/>
        </w:rPr>
        <w:t>.</w:t>
      </w:r>
      <w:r w:rsidR="00F91AF2" w:rsidRPr="00D20A5F">
        <w:rPr>
          <w:rFonts w:ascii="Arial Narrow" w:hAnsi="Arial Narrow" w:cs="Times New Roman"/>
          <w:sz w:val="24"/>
          <w:szCs w:val="24"/>
        </w:rPr>
        <w:t xml:space="preserve"> Until UAA </w:t>
      </w:r>
      <w:r w:rsidRPr="00D20A5F">
        <w:rPr>
          <w:rFonts w:ascii="Arial Narrow" w:hAnsi="Arial Narrow" w:cs="Times New Roman"/>
          <w:sz w:val="24"/>
          <w:szCs w:val="24"/>
        </w:rPr>
        <w:t>declares a vision</w:t>
      </w:r>
      <w:r w:rsidR="00F91AF2" w:rsidRPr="00D20A5F">
        <w:rPr>
          <w:rFonts w:ascii="Arial Narrow" w:hAnsi="Arial Narrow" w:cs="Times New Roman"/>
          <w:sz w:val="24"/>
          <w:szCs w:val="24"/>
        </w:rPr>
        <w:t xml:space="preserve"> for CPE, </w:t>
      </w:r>
      <w:r w:rsidR="00B51434">
        <w:rPr>
          <w:rFonts w:ascii="Arial Narrow" w:hAnsi="Arial Narrow" w:cs="Times New Roman"/>
          <w:sz w:val="24"/>
          <w:szCs w:val="24"/>
        </w:rPr>
        <w:t>success metrics</w:t>
      </w:r>
      <w:r w:rsidR="006D52DF">
        <w:rPr>
          <w:rFonts w:ascii="Arial Narrow" w:hAnsi="Arial Narrow" w:cs="Times New Roman"/>
          <w:sz w:val="24"/>
          <w:szCs w:val="24"/>
        </w:rPr>
        <w:t xml:space="preserve"> will be hard to define as each unit approaches CPE with a unique mindset and definition for success. Secondarily, establishing a centralized unit to have primary responsibility for</w:t>
      </w:r>
      <w:r w:rsidR="006D52DF" w:rsidRPr="00D20A5F">
        <w:rPr>
          <w:rFonts w:ascii="Arial Narrow" w:hAnsi="Arial Narrow" w:cs="Times New Roman"/>
          <w:sz w:val="24"/>
          <w:szCs w:val="24"/>
        </w:rPr>
        <w:t xml:space="preserve"> CPE offerings would allow for leaner operations and quality control. </w:t>
      </w:r>
      <w:r w:rsidR="00781A75">
        <w:rPr>
          <w:rFonts w:ascii="Arial Narrow" w:hAnsi="Arial Narrow" w:cs="Times New Roman"/>
          <w:sz w:val="24"/>
          <w:szCs w:val="24"/>
        </w:rPr>
        <w:t>Guiding principles or arriving at shared goals and priorities is compli</w:t>
      </w:r>
      <w:r w:rsidR="0095634B">
        <w:rPr>
          <w:rFonts w:ascii="Arial Narrow" w:hAnsi="Arial Narrow" w:cs="Times New Roman"/>
          <w:sz w:val="24"/>
          <w:szCs w:val="24"/>
        </w:rPr>
        <w:t>cated in a decentralized model. Establishing a CPE advisory group is a recognized best practice and simultaneously aligned with establishing a centralized CPE delivery model.</w:t>
      </w:r>
    </w:p>
    <w:p w:rsidR="006D52DF" w:rsidRDefault="006D52DF" w:rsidP="0002103C">
      <w:pPr>
        <w:spacing w:after="0"/>
        <w:rPr>
          <w:rFonts w:ascii="Arial Narrow" w:hAnsi="Arial Narrow" w:cs="Times New Roman"/>
          <w:sz w:val="24"/>
          <w:szCs w:val="24"/>
        </w:rPr>
      </w:pPr>
    </w:p>
    <w:p w:rsidR="00826A8A" w:rsidRDefault="00B51434" w:rsidP="0002103C">
      <w:pPr>
        <w:spacing w:after="0"/>
        <w:rPr>
          <w:rFonts w:ascii="Arial Narrow" w:hAnsi="Arial Narrow" w:cs="Times New Roman"/>
          <w:sz w:val="24"/>
          <w:szCs w:val="24"/>
        </w:rPr>
      </w:pPr>
      <w:r>
        <w:rPr>
          <w:rFonts w:ascii="Arial Narrow" w:hAnsi="Arial Narrow" w:cs="Times New Roman"/>
          <w:sz w:val="24"/>
          <w:szCs w:val="24"/>
        </w:rPr>
        <w:t>Decide on a target market focus</w:t>
      </w:r>
      <w:r w:rsidR="00826A8A">
        <w:rPr>
          <w:rFonts w:ascii="Arial Narrow" w:hAnsi="Arial Narrow" w:cs="Times New Roman"/>
          <w:sz w:val="24"/>
          <w:szCs w:val="24"/>
        </w:rPr>
        <w:t xml:space="preserve"> through a more intentional market analysis</w:t>
      </w:r>
      <w:r>
        <w:rPr>
          <w:rFonts w:ascii="Arial Narrow" w:hAnsi="Arial Narrow" w:cs="Times New Roman"/>
          <w:sz w:val="24"/>
          <w:szCs w:val="24"/>
        </w:rPr>
        <w:t xml:space="preserve">. Currently CPE offerings are </w:t>
      </w:r>
      <w:r w:rsidR="007E3358">
        <w:rPr>
          <w:rFonts w:ascii="Arial Narrow" w:hAnsi="Arial Narrow" w:cs="Times New Roman"/>
          <w:sz w:val="24"/>
          <w:szCs w:val="24"/>
        </w:rPr>
        <w:t>c</w:t>
      </w:r>
      <w:r w:rsidR="006C7D36">
        <w:rPr>
          <w:rFonts w:ascii="Arial Narrow" w:hAnsi="Arial Narrow" w:cs="Times New Roman"/>
          <w:sz w:val="24"/>
          <w:szCs w:val="24"/>
        </w:rPr>
        <w:t>ategorized</w:t>
      </w:r>
      <w:r w:rsidR="007E3358">
        <w:rPr>
          <w:rFonts w:ascii="Arial Narrow" w:hAnsi="Arial Narrow" w:cs="Times New Roman"/>
          <w:sz w:val="24"/>
          <w:szCs w:val="24"/>
        </w:rPr>
        <w:t xml:space="preserve"> and marketed in</w:t>
      </w:r>
      <w:r>
        <w:rPr>
          <w:rFonts w:ascii="Arial Narrow" w:hAnsi="Arial Narrow" w:cs="Times New Roman"/>
          <w:sz w:val="24"/>
          <w:szCs w:val="24"/>
        </w:rPr>
        <w:t xml:space="preserve"> three distinct </w:t>
      </w:r>
      <w:r w:rsidR="007E3358">
        <w:rPr>
          <w:rFonts w:ascii="Arial Narrow" w:hAnsi="Arial Narrow" w:cs="Times New Roman"/>
          <w:sz w:val="24"/>
          <w:szCs w:val="24"/>
        </w:rPr>
        <w:t>areas</w:t>
      </w:r>
      <w:r>
        <w:rPr>
          <w:rFonts w:ascii="Arial Narrow" w:hAnsi="Arial Narrow" w:cs="Times New Roman"/>
          <w:sz w:val="24"/>
          <w:szCs w:val="24"/>
        </w:rPr>
        <w:t xml:space="preserve">: 1) Professional Development and Training; 2) Personal Enrichment; and 3) University Access and College Success. </w:t>
      </w:r>
      <w:r w:rsidR="00781A75">
        <w:rPr>
          <w:rFonts w:ascii="Arial Narrow" w:hAnsi="Arial Narrow" w:cs="Times New Roman"/>
          <w:sz w:val="24"/>
          <w:szCs w:val="24"/>
        </w:rPr>
        <w:t xml:space="preserve">Having better market data as well as an established </w:t>
      </w:r>
      <w:r w:rsidR="00826A8A">
        <w:rPr>
          <w:rFonts w:ascii="Arial Narrow" w:hAnsi="Arial Narrow" w:cs="Times New Roman"/>
          <w:sz w:val="24"/>
          <w:szCs w:val="24"/>
        </w:rPr>
        <w:t xml:space="preserve">vision, </w:t>
      </w:r>
      <w:r w:rsidR="00781A75">
        <w:rPr>
          <w:rFonts w:ascii="Arial Narrow" w:hAnsi="Arial Narrow" w:cs="Times New Roman"/>
          <w:sz w:val="24"/>
          <w:szCs w:val="24"/>
        </w:rPr>
        <w:t xml:space="preserve">and </w:t>
      </w:r>
      <w:r w:rsidR="00826A8A">
        <w:rPr>
          <w:rFonts w:ascii="Arial Narrow" w:hAnsi="Arial Narrow" w:cs="Times New Roman"/>
          <w:sz w:val="24"/>
          <w:szCs w:val="24"/>
        </w:rPr>
        <w:t xml:space="preserve">guiding principles </w:t>
      </w:r>
      <w:r w:rsidR="00781A75">
        <w:rPr>
          <w:rFonts w:ascii="Arial Narrow" w:hAnsi="Arial Narrow" w:cs="Times New Roman"/>
          <w:sz w:val="24"/>
          <w:szCs w:val="24"/>
        </w:rPr>
        <w:t xml:space="preserve">will enable </w:t>
      </w:r>
      <w:r w:rsidR="00826A8A">
        <w:rPr>
          <w:rFonts w:ascii="Arial Narrow" w:hAnsi="Arial Narrow" w:cs="Times New Roman"/>
          <w:sz w:val="24"/>
          <w:szCs w:val="24"/>
        </w:rPr>
        <w:t xml:space="preserve">strategic decision making </w:t>
      </w:r>
      <w:r w:rsidR="00781A75">
        <w:rPr>
          <w:rFonts w:ascii="Arial Narrow" w:hAnsi="Arial Narrow" w:cs="Times New Roman"/>
          <w:sz w:val="24"/>
          <w:szCs w:val="24"/>
        </w:rPr>
        <w:t>to</w:t>
      </w:r>
      <w:r w:rsidR="00826A8A">
        <w:rPr>
          <w:rFonts w:ascii="Arial Narrow" w:hAnsi="Arial Narrow" w:cs="Times New Roman"/>
          <w:sz w:val="24"/>
          <w:szCs w:val="24"/>
        </w:rPr>
        <w:t xml:space="preserve"> occur.</w:t>
      </w:r>
      <w:r w:rsidR="00781A75">
        <w:rPr>
          <w:rFonts w:ascii="Arial Narrow" w:hAnsi="Arial Narrow" w:cs="Times New Roman"/>
          <w:sz w:val="24"/>
          <w:szCs w:val="24"/>
        </w:rPr>
        <w:t xml:space="preserve"> </w:t>
      </w:r>
      <w:r w:rsidR="00690837">
        <w:rPr>
          <w:rFonts w:ascii="Arial Narrow" w:hAnsi="Arial Narrow" w:cs="Times New Roman"/>
          <w:sz w:val="24"/>
          <w:szCs w:val="24"/>
        </w:rPr>
        <w:t>Centralization would potentially allow for improved market awareness following an initial market assessment.</w:t>
      </w:r>
      <w:r w:rsidR="0095634B">
        <w:rPr>
          <w:rFonts w:ascii="Arial Narrow" w:hAnsi="Arial Narrow" w:cs="Times New Roman"/>
          <w:sz w:val="24"/>
          <w:szCs w:val="24"/>
        </w:rPr>
        <w:t xml:space="preserve"> While UAA has established a centralized website, additional market data may trigger the need for redesign. Minimally, </w:t>
      </w:r>
      <w:r w:rsidR="00670C7C">
        <w:rPr>
          <w:rFonts w:ascii="Arial Narrow" w:hAnsi="Arial Narrow" w:cs="Times New Roman"/>
          <w:sz w:val="24"/>
          <w:szCs w:val="24"/>
        </w:rPr>
        <w:t xml:space="preserve">establish </w:t>
      </w:r>
      <w:r w:rsidR="0095634B">
        <w:rPr>
          <w:rFonts w:ascii="Arial Narrow" w:hAnsi="Arial Narrow" w:cs="Times New Roman"/>
          <w:sz w:val="24"/>
          <w:szCs w:val="24"/>
        </w:rPr>
        <w:t>an improved brand and marketing strategy.</w:t>
      </w:r>
    </w:p>
    <w:p w:rsidR="00690837" w:rsidRDefault="00690837" w:rsidP="0002103C">
      <w:pPr>
        <w:spacing w:after="0"/>
        <w:rPr>
          <w:rFonts w:ascii="Arial Narrow" w:hAnsi="Arial Narrow" w:cs="Times New Roman"/>
          <w:sz w:val="24"/>
          <w:szCs w:val="24"/>
        </w:rPr>
      </w:pPr>
    </w:p>
    <w:p w:rsidR="00690837" w:rsidRDefault="00690837" w:rsidP="0002103C">
      <w:pPr>
        <w:spacing w:after="0"/>
        <w:rPr>
          <w:rFonts w:ascii="Arial Narrow" w:hAnsi="Arial Narrow" w:cs="Times New Roman"/>
          <w:sz w:val="24"/>
          <w:szCs w:val="24"/>
        </w:rPr>
      </w:pPr>
      <w:r>
        <w:rPr>
          <w:rFonts w:ascii="Arial Narrow" w:hAnsi="Arial Narrow" w:cs="Times New Roman"/>
          <w:sz w:val="24"/>
          <w:szCs w:val="24"/>
        </w:rPr>
        <w:t>Make CPE sector determinations at the Chancellor level or inform CPE direction.</w:t>
      </w:r>
    </w:p>
    <w:p w:rsidR="00826A8A" w:rsidRDefault="00826A8A" w:rsidP="0002103C">
      <w:pPr>
        <w:spacing w:after="0"/>
        <w:rPr>
          <w:rFonts w:ascii="Arial Narrow" w:hAnsi="Arial Narrow" w:cs="Times New Roman"/>
          <w:sz w:val="24"/>
          <w:szCs w:val="24"/>
        </w:rPr>
      </w:pPr>
    </w:p>
    <w:p w:rsidR="00B51434" w:rsidRPr="00D20A5F" w:rsidRDefault="00B51434" w:rsidP="00690837">
      <w:pPr>
        <w:spacing w:after="0"/>
        <w:ind w:left="720"/>
        <w:rPr>
          <w:rFonts w:ascii="Arial Narrow" w:hAnsi="Arial Narrow" w:cs="Times New Roman"/>
          <w:sz w:val="24"/>
          <w:szCs w:val="24"/>
        </w:rPr>
      </w:pPr>
      <w:r>
        <w:rPr>
          <w:rFonts w:ascii="Arial Narrow" w:hAnsi="Arial Narrow" w:cs="Times New Roman"/>
          <w:sz w:val="24"/>
          <w:szCs w:val="24"/>
        </w:rPr>
        <w:t xml:space="preserve">If CPE programming is </w:t>
      </w:r>
      <w:r w:rsidR="006C7D36">
        <w:rPr>
          <w:rFonts w:ascii="Arial Narrow" w:hAnsi="Arial Narrow" w:cs="Times New Roman"/>
          <w:sz w:val="24"/>
          <w:szCs w:val="24"/>
        </w:rPr>
        <w:t xml:space="preserve">going to </w:t>
      </w:r>
      <w:r>
        <w:rPr>
          <w:rFonts w:ascii="Arial Narrow" w:hAnsi="Arial Narrow" w:cs="Times New Roman"/>
          <w:sz w:val="24"/>
          <w:szCs w:val="24"/>
        </w:rPr>
        <w:t>target adult working professionals</w:t>
      </w:r>
      <w:r w:rsidR="006C7D36">
        <w:rPr>
          <w:rFonts w:ascii="Arial Narrow" w:hAnsi="Arial Narrow" w:cs="Times New Roman"/>
          <w:sz w:val="24"/>
          <w:szCs w:val="24"/>
        </w:rPr>
        <w:t xml:space="preserve"> that already have a degree,</w:t>
      </w:r>
      <w:r>
        <w:rPr>
          <w:rFonts w:ascii="Arial Narrow" w:hAnsi="Arial Narrow" w:cs="Times New Roman"/>
          <w:sz w:val="24"/>
          <w:szCs w:val="24"/>
        </w:rPr>
        <w:t xml:space="preserve"> then </w:t>
      </w:r>
      <w:r w:rsidR="007E3358">
        <w:rPr>
          <w:rFonts w:ascii="Arial Narrow" w:hAnsi="Arial Narrow" w:cs="Times New Roman"/>
          <w:sz w:val="24"/>
          <w:szCs w:val="24"/>
        </w:rPr>
        <w:t>minimally, University Access and College Success courses</w:t>
      </w:r>
      <w:r w:rsidR="006C7D36">
        <w:rPr>
          <w:rFonts w:ascii="Arial Narrow" w:hAnsi="Arial Narrow" w:cs="Times New Roman"/>
          <w:sz w:val="24"/>
          <w:szCs w:val="24"/>
        </w:rPr>
        <w:t xml:space="preserve"> should </w:t>
      </w:r>
      <w:r w:rsidR="000F373F">
        <w:rPr>
          <w:rFonts w:ascii="Arial Narrow" w:hAnsi="Arial Narrow" w:cs="Times New Roman"/>
          <w:sz w:val="24"/>
          <w:szCs w:val="24"/>
        </w:rPr>
        <w:t>be marketed separately from</w:t>
      </w:r>
      <w:r w:rsidR="007E3358">
        <w:rPr>
          <w:rFonts w:ascii="Arial Narrow" w:hAnsi="Arial Narrow" w:cs="Times New Roman"/>
          <w:sz w:val="24"/>
          <w:szCs w:val="24"/>
        </w:rPr>
        <w:t xml:space="preserve"> CPE courses. Making target market decisions</w:t>
      </w:r>
      <w:r w:rsidR="00826A8A">
        <w:rPr>
          <w:rFonts w:ascii="Arial Narrow" w:hAnsi="Arial Narrow" w:cs="Times New Roman"/>
          <w:sz w:val="24"/>
          <w:szCs w:val="24"/>
        </w:rPr>
        <w:t xml:space="preserve"> such as this </w:t>
      </w:r>
      <w:r w:rsidR="007E3358">
        <w:rPr>
          <w:rFonts w:ascii="Arial Narrow" w:hAnsi="Arial Narrow" w:cs="Times New Roman"/>
          <w:sz w:val="24"/>
          <w:szCs w:val="24"/>
        </w:rPr>
        <w:t xml:space="preserve">will help </w:t>
      </w:r>
      <w:r w:rsidR="00826A8A">
        <w:rPr>
          <w:rFonts w:ascii="Arial Narrow" w:hAnsi="Arial Narrow" w:cs="Times New Roman"/>
          <w:sz w:val="24"/>
          <w:szCs w:val="24"/>
        </w:rPr>
        <w:t>tighten branding and marketing efforts</w:t>
      </w:r>
      <w:r w:rsidR="007E3358">
        <w:rPr>
          <w:rFonts w:ascii="Arial Narrow" w:hAnsi="Arial Narrow" w:cs="Times New Roman"/>
          <w:sz w:val="24"/>
          <w:szCs w:val="24"/>
        </w:rPr>
        <w:t>.</w:t>
      </w:r>
    </w:p>
    <w:p w:rsidR="00AE6A9D" w:rsidRPr="00D20A5F" w:rsidRDefault="00AE6A9D" w:rsidP="00F91AF2">
      <w:pPr>
        <w:spacing w:after="0"/>
        <w:rPr>
          <w:rFonts w:ascii="Arial Narrow" w:hAnsi="Arial Narrow" w:cs="Times New Roman"/>
          <w:sz w:val="24"/>
          <w:szCs w:val="24"/>
        </w:rPr>
      </w:pPr>
    </w:p>
    <w:p w:rsidR="00690837" w:rsidRDefault="00690837" w:rsidP="00690837">
      <w:pPr>
        <w:spacing w:after="0"/>
        <w:ind w:left="720"/>
        <w:rPr>
          <w:rFonts w:ascii="Arial Narrow" w:hAnsi="Arial Narrow" w:cs="Times New Roman"/>
          <w:sz w:val="24"/>
          <w:szCs w:val="24"/>
        </w:rPr>
      </w:pPr>
      <w:r w:rsidRPr="00D20A5F">
        <w:rPr>
          <w:rFonts w:ascii="Arial Narrow" w:hAnsi="Arial Narrow" w:cs="Times New Roman"/>
          <w:sz w:val="24"/>
          <w:szCs w:val="24"/>
        </w:rPr>
        <w:t>University access and college succ</w:t>
      </w:r>
      <w:r>
        <w:rPr>
          <w:rFonts w:ascii="Arial Narrow" w:hAnsi="Arial Narrow" w:cs="Times New Roman"/>
          <w:sz w:val="24"/>
          <w:szCs w:val="24"/>
        </w:rPr>
        <w:t xml:space="preserve">ess offerings have the potential to serve as </w:t>
      </w:r>
      <w:r w:rsidRPr="00D20A5F">
        <w:rPr>
          <w:rFonts w:ascii="Arial Narrow" w:hAnsi="Arial Narrow" w:cs="Times New Roman"/>
          <w:sz w:val="24"/>
          <w:szCs w:val="24"/>
        </w:rPr>
        <w:t xml:space="preserve">valuable </w:t>
      </w:r>
      <w:r>
        <w:rPr>
          <w:rFonts w:ascii="Arial Narrow" w:hAnsi="Arial Narrow" w:cs="Times New Roman"/>
          <w:sz w:val="24"/>
          <w:szCs w:val="24"/>
        </w:rPr>
        <w:t xml:space="preserve">undergrad student </w:t>
      </w:r>
      <w:r w:rsidRPr="00D20A5F">
        <w:rPr>
          <w:rFonts w:ascii="Arial Narrow" w:hAnsi="Arial Narrow" w:cs="Times New Roman"/>
          <w:sz w:val="24"/>
          <w:szCs w:val="24"/>
        </w:rPr>
        <w:t xml:space="preserve">recruitment </w:t>
      </w:r>
      <w:r>
        <w:rPr>
          <w:rFonts w:ascii="Arial Narrow" w:hAnsi="Arial Narrow" w:cs="Times New Roman"/>
          <w:sz w:val="24"/>
          <w:szCs w:val="24"/>
        </w:rPr>
        <w:t>offerings</w:t>
      </w:r>
      <w:r w:rsidRPr="00D20A5F">
        <w:rPr>
          <w:rFonts w:ascii="Arial Narrow" w:hAnsi="Arial Narrow" w:cs="Times New Roman"/>
          <w:sz w:val="24"/>
          <w:szCs w:val="24"/>
        </w:rPr>
        <w:t xml:space="preserve">. </w:t>
      </w:r>
      <w:r>
        <w:rPr>
          <w:rFonts w:ascii="Arial Narrow" w:hAnsi="Arial Narrow" w:cs="Times New Roman"/>
          <w:sz w:val="24"/>
          <w:szCs w:val="24"/>
        </w:rPr>
        <w:t xml:space="preserve">Due to the import to UAA, a separate level of </w:t>
      </w:r>
      <w:r w:rsidRPr="00D20A5F">
        <w:rPr>
          <w:rFonts w:ascii="Arial Narrow" w:hAnsi="Arial Narrow" w:cs="Times New Roman"/>
          <w:sz w:val="24"/>
          <w:szCs w:val="24"/>
        </w:rPr>
        <w:t>centralization</w:t>
      </w:r>
      <w:r>
        <w:rPr>
          <w:rFonts w:ascii="Arial Narrow" w:hAnsi="Arial Narrow" w:cs="Times New Roman"/>
          <w:sz w:val="24"/>
          <w:szCs w:val="24"/>
        </w:rPr>
        <w:t xml:space="preserve"> may be warranted</w:t>
      </w:r>
      <w:r w:rsidRPr="00D20A5F">
        <w:rPr>
          <w:rFonts w:ascii="Arial Narrow" w:hAnsi="Arial Narrow" w:cs="Times New Roman"/>
          <w:sz w:val="24"/>
          <w:szCs w:val="24"/>
        </w:rPr>
        <w:t xml:space="preserve">.  For example, youth ‘boot camps’ in specific fields should be offered with consistent standards, and require additional oversight due to working with minors. College/University summer bridging programs, test preparation, math emporiums, college writing camps, and the like can lead directly to higher levels of student success. </w:t>
      </w:r>
      <w:r>
        <w:rPr>
          <w:rFonts w:ascii="Arial Narrow" w:hAnsi="Arial Narrow" w:cs="Times New Roman"/>
          <w:sz w:val="24"/>
          <w:szCs w:val="24"/>
        </w:rPr>
        <w:t>Alternatively, a broader CPE unit could be established with a “division” that focusses efforts towards this market.</w:t>
      </w:r>
    </w:p>
    <w:p w:rsidR="00690837" w:rsidRDefault="00690837" w:rsidP="00690837">
      <w:pPr>
        <w:spacing w:after="0"/>
        <w:ind w:left="720"/>
        <w:rPr>
          <w:rFonts w:ascii="Arial Narrow" w:hAnsi="Arial Narrow" w:cs="Times New Roman"/>
          <w:sz w:val="24"/>
          <w:szCs w:val="24"/>
        </w:rPr>
      </w:pPr>
    </w:p>
    <w:p w:rsidR="000F373F" w:rsidRPr="00D20A5F" w:rsidRDefault="000F373F" w:rsidP="00690837">
      <w:pPr>
        <w:spacing w:after="0"/>
        <w:ind w:left="720"/>
        <w:rPr>
          <w:rFonts w:ascii="Arial Narrow" w:hAnsi="Arial Narrow" w:cs="Times New Roman"/>
          <w:sz w:val="24"/>
          <w:szCs w:val="24"/>
        </w:rPr>
      </w:pPr>
      <w:r>
        <w:rPr>
          <w:rFonts w:ascii="Arial Narrow" w:hAnsi="Arial Narrow" w:cs="Times New Roman"/>
          <w:sz w:val="24"/>
          <w:szCs w:val="24"/>
        </w:rPr>
        <w:t>Personal Enrichment offerings are currently offered largely as a community</w:t>
      </w:r>
      <w:r w:rsidR="006D52DF">
        <w:rPr>
          <w:rFonts w:ascii="Arial Narrow" w:hAnsi="Arial Narrow" w:cs="Times New Roman"/>
          <w:sz w:val="24"/>
          <w:szCs w:val="24"/>
        </w:rPr>
        <w:t xml:space="preserve"> engagement strategy. As such, expenses are not tightly tracked. No UAA strategy or guiding principles exist to shape </w:t>
      </w:r>
      <w:r w:rsidR="00670C7C">
        <w:rPr>
          <w:rFonts w:ascii="Arial Narrow" w:hAnsi="Arial Narrow" w:cs="Times New Roman"/>
          <w:sz w:val="24"/>
          <w:szCs w:val="24"/>
        </w:rPr>
        <w:t>decision-making</w:t>
      </w:r>
      <w:r w:rsidR="006D52DF">
        <w:rPr>
          <w:rFonts w:ascii="Arial Narrow" w:hAnsi="Arial Narrow" w:cs="Times New Roman"/>
          <w:sz w:val="24"/>
          <w:szCs w:val="24"/>
        </w:rPr>
        <w:t xml:space="preserve"> regarding when and what classes are offered. Classes tend to be offered based on a community request or a staff </w:t>
      </w:r>
      <w:r w:rsidR="00670C7C">
        <w:rPr>
          <w:rFonts w:ascii="Arial Narrow" w:hAnsi="Arial Narrow" w:cs="Times New Roman"/>
          <w:sz w:val="24"/>
          <w:szCs w:val="24"/>
        </w:rPr>
        <w:t>member’s</w:t>
      </w:r>
      <w:r w:rsidR="006D52DF">
        <w:rPr>
          <w:rFonts w:ascii="Arial Narrow" w:hAnsi="Arial Narrow" w:cs="Times New Roman"/>
          <w:sz w:val="24"/>
          <w:szCs w:val="24"/>
        </w:rPr>
        <w:t xml:space="preserve"> interest in a particular subject matter.</w:t>
      </w:r>
      <w:r w:rsidR="00690837">
        <w:rPr>
          <w:rFonts w:ascii="Arial Narrow" w:hAnsi="Arial Narrow" w:cs="Times New Roman"/>
          <w:sz w:val="24"/>
          <w:szCs w:val="24"/>
        </w:rPr>
        <w:t xml:space="preserve"> Having well established guiding principles will enable </w:t>
      </w:r>
      <w:r w:rsidR="00670C7C">
        <w:rPr>
          <w:rFonts w:ascii="Arial Narrow" w:hAnsi="Arial Narrow" w:cs="Times New Roman"/>
          <w:sz w:val="24"/>
          <w:szCs w:val="24"/>
        </w:rPr>
        <w:t>improved decision-making</w:t>
      </w:r>
      <w:r w:rsidR="00690837">
        <w:rPr>
          <w:rFonts w:ascii="Arial Narrow" w:hAnsi="Arial Narrow" w:cs="Times New Roman"/>
          <w:sz w:val="24"/>
          <w:szCs w:val="24"/>
        </w:rPr>
        <w:t>.</w:t>
      </w:r>
    </w:p>
    <w:p w:rsidR="000F373F" w:rsidRDefault="000F373F" w:rsidP="00F91AF2">
      <w:pPr>
        <w:spacing w:after="0"/>
        <w:rPr>
          <w:rFonts w:ascii="Arial Narrow" w:hAnsi="Arial Narrow" w:cs="Times New Roman"/>
          <w:sz w:val="24"/>
          <w:szCs w:val="24"/>
        </w:rPr>
      </w:pPr>
    </w:p>
    <w:p w:rsidR="000F373F" w:rsidRDefault="000F373F" w:rsidP="00F91AF2">
      <w:pPr>
        <w:spacing w:after="0"/>
        <w:rPr>
          <w:rFonts w:ascii="Arial Narrow" w:hAnsi="Arial Narrow" w:cs="Times New Roman"/>
          <w:sz w:val="24"/>
          <w:szCs w:val="24"/>
        </w:rPr>
      </w:pPr>
    </w:p>
    <w:sectPr w:rsidR="000F373F" w:rsidSect="005F4DF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73" w:rsidRDefault="00482773" w:rsidP="00F43A46">
      <w:pPr>
        <w:spacing w:after="0" w:line="240" w:lineRule="auto"/>
      </w:pPr>
      <w:r>
        <w:separator/>
      </w:r>
    </w:p>
  </w:endnote>
  <w:endnote w:type="continuationSeparator" w:id="0">
    <w:p w:rsidR="00482773" w:rsidRDefault="00482773" w:rsidP="00F4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Roboto Condensed">
    <w:altName w:val="Times New Roman"/>
    <w:charset w:val="00"/>
    <w:family w:val="auto"/>
    <w:pitch w:val="variable"/>
    <w:sig w:usb0="E00002FF" w:usb1="5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3C" w:rsidRDefault="004D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482143"/>
      <w:docPartObj>
        <w:docPartGallery w:val="Page Numbers (Bottom of Page)"/>
        <w:docPartUnique/>
      </w:docPartObj>
    </w:sdtPr>
    <w:sdtEndPr/>
    <w:sdtContent>
      <w:sdt>
        <w:sdtPr>
          <w:id w:val="-1769616900"/>
          <w:docPartObj>
            <w:docPartGallery w:val="Page Numbers (Top of Page)"/>
            <w:docPartUnique/>
          </w:docPartObj>
        </w:sdtPr>
        <w:sdtEndPr/>
        <w:sdtContent>
          <w:p w:rsidR="004D4D3C" w:rsidRDefault="004D4D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15A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15AA">
              <w:rPr>
                <w:b/>
                <w:bCs/>
                <w:noProof/>
              </w:rPr>
              <w:t>7</w:t>
            </w:r>
            <w:r>
              <w:rPr>
                <w:b/>
                <w:bCs/>
                <w:sz w:val="24"/>
                <w:szCs w:val="24"/>
              </w:rPr>
              <w:fldChar w:fldCharType="end"/>
            </w:r>
          </w:p>
        </w:sdtContent>
      </w:sdt>
    </w:sdtContent>
  </w:sdt>
  <w:p w:rsidR="00F43A46" w:rsidRDefault="00F43A46" w:rsidP="004D4D3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3C" w:rsidRDefault="004D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73" w:rsidRDefault="00482773" w:rsidP="00F43A46">
      <w:pPr>
        <w:spacing w:after="0" w:line="240" w:lineRule="auto"/>
      </w:pPr>
      <w:r>
        <w:separator/>
      </w:r>
    </w:p>
  </w:footnote>
  <w:footnote w:type="continuationSeparator" w:id="0">
    <w:p w:rsidR="00482773" w:rsidRDefault="00482773" w:rsidP="00F4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3C" w:rsidRDefault="004D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3C" w:rsidRDefault="004D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3C" w:rsidRDefault="004D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82519"/>
    <w:multiLevelType w:val="hybridMultilevel"/>
    <w:tmpl w:val="CAE43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45D9D"/>
    <w:multiLevelType w:val="hybridMultilevel"/>
    <w:tmpl w:val="47D05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CC7330"/>
    <w:multiLevelType w:val="hybridMultilevel"/>
    <w:tmpl w:val="8C70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15365"/>
    <w:multiLevelType w:val="hybridMultilevel"/>
    <w:tmpl w:val="0404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F0160"/>
    <w:multiLevelType w:val="hybridMultilevel"/>
    <w:tmpl w:val="4B544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FE"/>
    <w:rsid w:val="00000141"/>
    <w:rsid w:val="0002103C"/>
    <w:rsid w:val="00041E90"/>
    <w:rsid w:val="000B15AA"/>
    <w:rsid w:val="000F373F"/>
    <w:rsid w:val="00102BFC"/>
    <w:rsid w:val="00107CDF"/>
    <w:rsid w:val="00133654"/>
    <w:rsid w:val="001A0E0D"/>
    <w:rsid w:val="002432D8"/>
    <w:rsid w:val="00256402"/>
    <w:rsid w:val="002A3E97"/>
    <w:rsid w:val="002B1439"/>
    <w:rsid w:val="0034287F"/>
    <w:rsid w:val="003A0478"/>
    <w:rsid w:val="004063F5"/>
    <w:rsid w:val="00435FAB"/>
    <w:rsid w:val="00475903"/>
    <w:rsid w:val="00482773"/>
    <w:rsid w:val="004A5C62"/>
    <w:rsid w:val="004D4D3C"/>
    <w:rsid w:val="004F1856"/>
    <w:rsid w:val="004F336F"/>
    <w:rsid w:val="00552C54"/>
    <w:rsid w:val="005C4A38"/>
    <w:rsid w:val="005F4DFE"/>
    <w:rsid w:val="0060767B"/>
    <w:rsid w:val="00635E50"/>
    <w:rsid w:val="00664769"/>
    <w:rsid w:val="0066750D"/>
    <w:rsid w:val="00670C7C"/>
    <w:rsid w:val="00686FE7"/>
    <w:rsid w:val="00690837"/>
    <w:rsid w:val="006C7D36"/>
    <w:rsid w:val="006D52DF"/>
    <w:rsid w:val="006F21BB"/>
    <w:rsid w:val="006F7F47"/>
    <w:rsid w:val="00744274"/>
    <w:rsid w:val="00781A75"/>
    <w:rsid w:val="00794456"/>
    <w:rsid w:val="007A238C"/>
    <w:rsid w:val="007A408C"/>
    <w:rsid w:val="007D5076"/>
    <w:rsid w:val="007E3358"/>
    <w:rsid w:val="007E5CDC"/>
    <w:rsid w:val="00826A8A"/>
    <w:rsid w:val="008313A5"/>
    <w:rsid w:val="008510CA"/>
    <w:rsid w:val="00851DD5"/>
    <w:rsid w:val="00857257"/>
    <w:rsid w:val="0088398A"/>
    <w:rsid w:val="008F6EE3"/>
    <w:rsid w:val="00927869"/>
    <w:rsid w:val="0095634B"/>
    <w:rsid w:val="00957CA8"/>
    <w:rsid w:val="0096263F"/>
    <w:rsid w:val="009775E8"/>
    <w:rsid w:val="009C3C5C"/>
    <w:rsid w:val="009C55BE"/>
    <w:rsid w:val="009D6B27"/>
    <w:rsid w:val="00A828FE"/>
    <w:rsid w:val="00AB0A2F"/>
    <w:rsid w:val="00AD55E5"/>
    <w:rsid w:val="00AE6A9D"/>
    <w:rsid w:val="00B250BE"/>
    <w:rsid w:val="00B51434"/>
    <w:rsid w:val="00B55EA9"/>
    <w:rsid w:val="00B84EFF"/>
    <w:rsid w:val="00BA1C27"/>
    <w:rsid w:val="00BD5195"/>
    <w:rsid w:val="00C01B32"/>
    <w:rsid w:val="00C61B3B"/>
    <w:rsid w:val="00D02EAA"/>
    <w:rsid w:val="00D1220A"/>
    <w:rsid w:val="00D20A5F"/>
    <w:rsid w:val="00D267AE"/>
    <w:rsid w:val="00DF52D9"/>
    <w:rsid w:val="00E04A6B"/>
    <w:rsid w:val="00E2409B"/>
    <w:rsid w:val="00F414A7"/>
    <w:rsid w:val="00F43A46"/>
    <w:rsid w:val="00F47CF5"/>
    <w:rsid w:val="00F91AF2"/>
    <w:rsid w:val="00FE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E3B31"/>
  <w15:chartTrackingRefBased/>
  <w15:docId w15:val="{72FC786D-658C-4EE2-BC38-F0818A91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DFE"/>
    <w:pPr>
      <w:ind w:left="720"/>
      <w:contextualSpacing/>
    </w:pPr>
  </w:style>
  <w:style w:type="paragraph" w:styleId="NoSpacing">
    <w:name w:val="No Spacing"/>
    <w:uiPriority w:val="1"/>
    <w:qFormat/>
    <w:rsid w:val="00AB0A2F"/>
    <w:pPr>
      <w:spacing w:after="0" w:line="240" w:lineRule="auto"/>
    </w:pPr>
    <w:rPr>
      <w:rFonts w:ascii="Times New Roman" w:eastAsiaTheme="minorEastAsia" w:hAnsi="Times New Roman" w:cs="Times New Roman"/>
      <w:sz w:val="24"/>
    </w:rPr>
  </w:style>
  <w:style w:type="table" w:styleId="TableGrid">
    <w:name w:val="Table Grid"/>
    <w:basedOn w:val="TableNormal"/>
    <w:uiPriority w:val="39"/>
    <w:rsid w:val="003428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A46"/>
  </w:style>
  <w:style w:type="paragraph" w:styleId="Footer">
    <w:name w:val="footer"/>
    <w:basedOn w:val="Normal"/>
    <w:link w:val="FooterChar"/>
    <w:uiPriority w:val="99"/>
    <w:unhideWhenUsed/>
    <w:rsid w:val="00F43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a.alaska.edu/academics/continuing-education/index.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Christi Bell</cp:lastModifiedBy>
  <cp:revision>4</cp:revision>
  <dcterms:created xsi:type="dcterms:W3CDTF">2019-08-06T17:35:00Z</dcterms:created>
  <dcterms:modified xsi:type="dcterms:W3CDTF">2019-08-06T18:26:00Z</dcterms:modified>
</cp:coreProperties>
</file>