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after="200" w:line="276"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533650" cy="5267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33650" cy="526799"/>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Resolution 110218-#</w:t>
      </w:r>
    </w:p>
    <w:p w:rsidR="00000000" w:rsidDel="00000000" w:rsidP="00000000" w:rsidRDefault="00000000" w:rsidRPr="00000000" w14:paraId="00000003">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Creation of an Ad Hoc Faculty Senate Committee: “Electronic Annual Activity Reporting Steering Committee”</w:t>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Faculty Senate Research &amp; Creative Activity Committee (FS-RCAC) has determined that there is broad and strong support among all stakeholders for a move to electronic annual activity reporting (eAAR) at UAA, and</w:t>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Faculty Senate adopted Resolution 020218-2 to recommend a UAA-wide trial of eAAR using Digital Measures Activity Insight to begin in Fall 2018, and</w:t>
      </w:r>
    </w:p>
    <w:p w:rsidR="00000000" w:rsidDel="00000000" w:rsidP="00000000" w:rsidRDefault="00000000" w:rsidRPr="00000000" w14:paraId="0000000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it was subsequently determined that a Fall 2018 UAA-wide rollout would be too aggressive of a timetable to ensure a smooth and successful launch, and</w:t>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a revised timetable for eAAR platform availability in Spring 2019 for early adopter “beta testing” and for final rollout to all UAA faculty for (voluntary) eAAR submission in Fall 2019 is now the best option, and</w:t>
      </w:r>
    </w:p>
    <w:p w:rsidR="00000000" w:rsidDel="00000000" w:rsidP="00000000" w:rsidRDefault="00000000" w:rsidRPr="00000000" w14:paraId="0000000C">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eAAR rollout process should begin immediately to meet this revised timeline, and</w:t>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eAAR rollout process involves determination and customization of the eAAR platform features specific to various colleges and units and therefore requires input representing all UAA faculty stakeholders, </w:t>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THEREFORE BE IT RESOLVED,</w:t>
      </w:r>
      <w:r w:rsidDel="00000000" w:rsidR="00000000" w:rsidRPr="00000000">
        <w:rPr>
          <w:rFonts w:ascii="Times New Roman" w:cs="Times New Roman" w:eastAsia="Times New Roman" w:hAnsi="Times New Roman"/>
          <w:sz w:val="24"/>
          <w:szCs w:val="24"/>
          <w:rtl w:val="0"/>
        </w:rPr>
        <w:t xml:space="preserve"> the Faculty Senate is creating an Ad Hoc Committee, “Electronic Annual Activity Reporting Steering Committee,” which is to be comprised of faculty representing, at a minimum, each college for which customization of eAAR occurs:  College of Arts and Sciences, College of Business and Public Policy, Community and Technical College, College of Engineering, College of Health, and the Consortium Library.  The Committee will further include administrators or personnel representing, at a minimum, Faculty Services, Institutional Effectiveness and/or Institutional Research, and Information Technology.  The Committee will work together and with Digital Measures personnel to ensure that customization and functionality of the eAAR platform is achieved consistent with the timeline for Fall 2019 UAA-wide rollout.  To that end, it is envisioned that members of the Committee will serve through the Spring 2019 academic semester, and that the Committee will meet with varying frequency (weekly to monthly) dependent on milestones of the rollout timeline.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