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800" w:type="dxa"/>
        <w:tblInd w:w="-15" w:type="dxa"/>
        <w:tblCellMar>
          <w:left w:w="0" w:type="dxa"/>
          <w:right w:w="0" w:type="dxa"/>
        </w:tblCellMar>
        <w:tblLook w:val="04A0" w:firstRow="1" w:lastRow="0" w:firstColumn="1" w:lastColumn="0" w:noHBand="0" w:noVBand="1"/>
      </w:tblPr>
      <w:tblGrid>
        <w:gridCol w:w="1580"/>
        <w:gridCol w:w="2720"/>
        <w:gridCol w:w="2500"/>
      </w:tblGrid>
      <w:tr w:rsidR="003B5949" w:rsidTr="003B5949">
        <w:trPr>
          <w:trHeight w:val="315"/>
        </w:trPr>
        <w:tc>
          <w:tcPr>
            <w:tcW w:w="1580" w:type="dxa"/>
            <w:noWrap/>
            <w:tcMar>
              <w:top w:w="0" w:type="dxa"/>
              <w:left w:w="108" w:type="dxa"/>
              <w:bottom w:w="0" w:type="dxa"/>
              <w:right w:w="108" w:type="dxa"/>
            </w:tcMar>
            <w:vAlign w:val="bottom"/>
            <w:hideMark/>
          </w:tcPr>
          <w:p w:rsidR="003B5949" w:rsidRDefault="003B5949">
            <w:pPr>
              <w:rPr>
                <w:rFonts w:ascii="Times New Roman" w:eastAsia="Times New Roman" w:hAnsi="Times New Roman"/>
                <w:sz w:val="20"/>
                <w:szCs w:val="20"/>
              </w:rPr>
            </w:pPr>
          </w:p>
        </w:tc>
        <w:tc>
          <w:tcPr>
            <w:tcW w:w="5220" w:type="dxa"/>
            <w:gridSpan w:val="2"/>
            <w:noWrap/>
            <w:tcMar>
              <w:top w:w="0" w:type="dxa"/>
              <w:left w:w="108" w:type="dxa"/>
              <w:bottom w:w="0" w:type="dxa"/>
              <w:right w:w="108" w:type="dxa"/>
            </w:tcMar>
            <w:vAlign w:val="bottom"/>
            <w:hideMark/>
          </w:tcPr>
          <w:p w:rsidR="003B5949" w:rsidRDefault="003B5949">
            <w:pPr>
              <w:rPr>
                <w:b/>
                <w:bCs/>
                <w:color w:val="000000"/>
                <w:sz w:val="24"/>
                <w:szCs w:val="24"/>
              </w:rPr>
            </w:pPr>
            <w:r>
              <w:rPr>
                <w:b/>
                <w:bCs/>
                <w:color w:val="000000"/>
                <w:sz w:val="24"/>
                <w:szCs w:val="24"/>
              </w:rPr>
              <w:t>Fall 2013 IDEA Response Rates for KPC*</w:t>
            </w:r>
          </w:p>
        </w:tc>
      </w:tr>
      <w:tr w:rsidR="003B5949" w:rsidTr="003B5949">
        <w:trPr>
          <w:trHeight w:val="315"/>
        </w:trPr>
        <w:tc>
          <w:tcPr>
            <w:tcW w:w="1580" w:type="dxa"/>
            <w:noWrap/>
            <w:tcMar>
              <w:top w:w="0" w:type="dxa"/>
              <w:left w:w="108" w:type="dxa"/>
              <w:bottom w:w="0" w:type="dxa"/>
              <w:right w:w="108" w:type="dxa"/>
            </w:tcMar>
            <w:vAlign w:val="bottom"/>
            <w:hideMark/>
          </w:tcPr>
          <w:p w:rsidR="003B5949" w:rsidRDefault="003B5949">
            <w:pPr>
              <w:rPr>
                <w:rFonts w:ascii="Times New Roman" w:eastAsia="Times New Roman" w:hAnsi="Times New Roman"/>
                <w:sz w:val="20"/>
                <w:szCs w:val="20"/>
              </w:rPr>
            </w:pPr>
          </w:p>
        </w:tc>
        <w:tc>
          <w:tcPr>
            <w:tcW w:w="2720" w:type="dxa"/>
            <w:noWrap/>
            <w:tcMar>
              <w:top w:w="0" w:type="dxa"/>
              <w:left w:w="108" w:type="dxa"/>
              <w:bottom w:w="0" w:type="dxa"/>
              <w:right w:w="108" w:type="dxa"/>
            </w:tcMar>
            <w:vAlign w:val="bottom"/>
            <w:hideMark/>
          </w:tcPr>
          <w:p w:rsidR="003B5949" w:rsidRDefault="003B5949">
            <w:pPr>
              <w:rPr>
                <w:rFonts w:ascii="Times New Roman" w:eastAsia="Times New Roman" w:hAnsi="Times New Roman"/>
                <w:sz w:val="20"/>
                <w:szCs w:val="20"/>
              </w:rPr>
            </w:pPr>
          </w:p>
        </w:tc>
        <w:tc>
          <w:tcPr>
            <w:tcW w:w="2500" w:type="dxa"/>
            <w:noWrap/>
            <w:tcMar>
              <w:top w:w="0" w:type="dxa"/>
              <w:left w:w="108" w:type="dxa"/>
              <w:bottom w:w="0" w:type="dxa"/>
              <w:right w:w="108" w:type="dxa"/>
            </w:tcMar>
            <w:vAlign w:val="bottom"/>
            <w:hideMark/>
          </w:tcPr>
          <w:p w:rsidR="003B5949" w:rsidRDefault="003B5949">
            <w:pPr>
              <w:rPr>
                <w:rFonts w:ascii="Times New Roman" w:eastAsia="Times New Roman" w:hAnsi="Times New Roman"/>
                <w:sz w:val="20"/>
                <w:szCs w:val="20"/>
              </w:rPr>
            </w:pPr>
          </w:p>
        </w:tc>
      </w:tr>
      <w:tr w:rsidR="003B5949" w:rsidTr="003B5949">
        <w:trPr>
          <w:trHeight w:val="300"/>
        </w:trPr>
        <w:tc>
          <w:tcPr>
            <w:tcW w:w="1580" w:type="dxa"/>
            <w:noWrap/>
            <w:tcMar>
              <w:top w:w="0" w:type="dxa"/>
              <w:left w:w="108" w:type="dxa"/>
              <w:bottom w:w="0" w:type="dxa"/>
              <w:right w:w="108" w:type="dxa"/>
            </w:tcMar>
            <w:vAlign w:val="bottom"/>
            <w:hideMark/>
          </w:tcPr>
          <w:p w:rsidR="003B5949" w:rsidRDefault="003B5949">
            <w:pPr>
              <w:rPr>
                <w:rFonts w:ascii="Times New Roman" w:eastAsia="Times New Roman" w:hAnsi="Times New Roman"/>
                <w:sz w:val="20"/>
                <w:szCs w:val="20"/>
              </w:rPr>
            </w:pPr>
          </w:p>
        </w:tc>
        <w:tc>
          <w:tcPr>
            <w:tcW w:w="2720" w:type="dxa"/>
            <w:tcBorders>
              <w:top w:val="single" w:sz="8" w:space="0" w:color="auto"/>
              <w:left w:val="single" w:sz="8" w:space="0" w:color="auto"/>
              <w:bottom w:val="nil"/>
              <w:right w:val="nil"/>
            </w:tcBorders>
            <w:tcMar>
              <w:top w:w="0" w:type="dxa"/>
              <w:left w:w="108" w:type="dxa"/>
              <w:bottom w:w="0" w:type="dxa"/>
              <w:right w:w="108" w:type="dxa"/>
            </w:tcMar>
            <w:vAlign w:val="bottom"/>
            <w:hideMark/>
          </w:tcPr>
          <w:p w:rsidR="003B5949" w:rsidRDefault="003B5949">
            <w:pPr>
              <w:rPr>
                <w:color w:val="000000"/>
              </w:rPr>
            </w:pPr>
            <w:r>
              <w:rPr>
                <w:color w:val="000000"/>
              </w:rPr>
              <w:t>Online classes**</w:t>
            </w:r>
          </w:p>
        </w:tc>
        <w:tc>
          <w:tcPr>
            <w:tcW w:w="250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3B5949" w:rsidRDefault="003B5949">
            <w:pPr>
              <w:rPr>
                <w:color w:val="000000"/>
              </w:rPr>
            </w:pPr>
            <w:r>
              <w:rPr>
                <w:color w:val="000000"/>
              </w:rPr>
              <w:t>Face-to-face Classes***</w:t>
            </w:r>
          </w:p>
        </w:tc>
      </w:tr>
      <w:tr w:rsidR="003B5949" w:rsidTr="003B5949">
        <w:trPr>
          <w:trHeight w:val="315"/>
        </w:trPr>
        <w:tc>
          <w:tcPr>
            <w:tcW w:w="1580" w:type="dxa"/>
            <w:noWrap/>
            <w:tcMar>
              <w:top w:w="0" w:type="dxa"/>
              <w:left w:w="108" w:type="dxa"/>
              <w:bottom w:w="0" w:type="dxa"/>
              <w:right w:w="108" w:type="dxa"/>
            </w:tcMar>
            <w:vAlign w:val="bottom"/>
            <w:hideMark/>
          </w:tcPr>
          <w:p w:rsidR="003B5949" w:rsidRDefault="003B5949">
            <w:pPr>
              <w:rPr>
                <w:rFonts w:ascii="Times New Roman" w:eastAsia="Times New Roman" w:hAnsi="Times New Roman"/>
                <w:sz w:val="20"/>
                <w:szCs w:val="20"/>
              </w:rPr>
            </w:pPr>
          </w:p>
        </w:tc>
        <w:tc>
          <w:tcPr>
            <w:tcW w:w="272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3B5949" w:rsidRDefault="003B5949">
            <w:pPr>
              <w:rPr>
                <w:i/>
                <w:iCs/>
                <w:color w:val="000000"/>
                <w:sz w:val="20"/>
                <w:szCs w:val="20"/>
              </w:rPr>
            </w:pPr>
            <w:r>
              <w:rPr>
                <w:i/>
                <w:iCs/>
                <w:color w:val="000000"/>
                <w:sz w:val="20"/>
                <w:szCs w:val="20"/>
              </w:rPr>
              <w:t>(digital IDEA surveys)</w:t>
            </w:r>
          </w:p>
        </w:tc>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rPr>
                <w:i/>
                <w:iCs/>
                <w:color w:val="000000"/>
                <w:sz w:val="20"/>
                <w:szCs w:val="20"/>
              </w:rPr>
            </w:pPr>
            <w:r>
              <w:rPr>
                <w:i/>
                <w:iCs/>
                <w:color w:val="000000"/>
                <w:sz w:val="20"/>
                <w:szCs w:val="20"/>
              </w:rPr>
              <w:t>(paper IDEA surveys)</w:t>
            </w:r>
          </w:p>
        </w:tc>
      </w:tr>
      <w:tr w:rsidR="003B5949" w:rsidTr="003B5949">
        <w:trPr>
          <w:trHeight w:val="300"/>
        </w:trPr>
        <w:tc>
          <w:tcPr>
            <w:tcW w:w="15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rPr>
                <w:color w:val="000000"/>
              </w:rPr>
            </w:pPr>
            <w:r>
              <w:rPr>
                <w:color w:val="000000"/>
              </w:rPr>
              <w:t>Count (n)</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124</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143</w:t>
            </w:r>
          </w:p>
        </w:tc>
        <w:bookmarkStart w:id="0" w:name="_GoBack"/>
        <w:bookmarkEnd w:id="0"/>
      </w:tr>
      <w:tr w:rsidR="003B5949" w:rsidTr="003B5949">
        <w:trPr>
          <w:trHeight w:val="300"/>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rPr>
                <w:color w:val="000000"/>
              </w:rPr>
            </w:pPr>
            <w:r>
              <w:rPr>
                <w:color w:val="000000"/>
              </w:rPr>
              <w:t xml:space="preserve">Average Percent Response </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30.6%</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74.4%</w:t>
            </w:r>
          </w:p>
        </w:tc>
      </w:tr>
      <w:tr w:rsidR="003B5949" w:rsidTr="003B5949">
        <w:trPr>
          <w:trHeight w:val="300"/>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rPr>
                <w:color w:val="000000"/>
              </w:rPr>
            </w:pPr>
            <w:r>
              <w:rPr>
                <w:color w:val="000000"/>
              </w:rPr>
              <w:t>Median Response Rate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29%</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76%</w:t>
            </w:r>
          </w:p>
        </w:tc>
      </w:tr>
      <w:tr w:rsidR="003B5949" w:rsidTr="003B5949">
        <w:trPr>
          <w:trHeight w:val="300"/>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rPr>
                <w:color w:val="000000"/>
              </w:rPr>
            </w:pPr>
            <w:proofErr w:type="spellStart"/>
            <w:r>
              <w:rPr>
                <w:color w:val="000000"/>
              </w:rPr>
              <w:t>Stnd</w:t>
            </w:r>
            <w:proofErr w:type="spellEnd"/>
            <w:r>
              <w:rPr>
                <w:color w:val="000000"/>
              </w:rPr>
              <w:t xml:space="preserve"> deviation of Response Rate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14.464</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18.802</w:t>
            </w:r>
          </w:p>
        </w:tc>
      </w:tr>
      <w:tr w:rsidR="003B5949" w:rsidTr="003B5949">
        <w:trPr>
          <w:trHeight w:val="300"/>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rPr>
                <w:color w:val="000000"/>
              </w:rPr>
            </w:pPr>
            <w:r>
              <w:rPr>
                <w:color w:val="000000"/>
              </w:rPr>
              <w:t>High Response Rate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78%</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100%</w:t>
            </w:r>
          </w:p>
        </w:tc>
      </w:tr>
      <w:tr w:rsidR="003B5949" w:rsidTr="003B5949">
        <w:trPr>
          <w:trHeight w:val="315"/>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rPr>
                <w:color w:val="000000"/>
              </w:rPr>
            </w:pPr>
            <w:r>
              <w:rPr>
                <w:color w:val="000000"/>
              </w:rPr>
              <w:t>Low Response Rate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9%</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949" w:rsidRDefault="003B5949">
            <w:pPr>
              <w:jc w:val="right"/>
              <w:rPr>
                <w:color w:val="000000"/>
              </w:rPr>
            </w:pPr>
            <w:r>
              <w:rPr>
                <w:color w:val="000000"/>
              </w:rPr>
              <w:t>22%</w:t>
            </w:r>
          </w:p>
        </w:tc>
      </w:tr>
    </w:tbl>
    <w:p w:rsidR="003B5949" w:rsidRDefault="003B5949" w:rsidP="003B5949"/>
    <w:p w:rsidR="003B5949" w:rsidRDefault="003B5949" w:rsidP="003B5949">
      <w:pPr>
        <w:rPr>
          <w:color w:val="000000"/>
          <w:sz w:val="24"/>
          <w:szCs w:val="24"/>
        </w:rPr>
      </w:pPr>
      <w:r>
        <w:rPr>
          <w:color w:val="000000"/>
          <w:sz w:val="24"/>
          <w:szCs w:val="24"/>
        </w:rPr>
        <w:t xml:space="preserve">*KPC includes two campuses: Kenai River Campus (Soldotna) and </w:t>
      </w:r>
      <w:proofErr w:type="spellStart"/>
      <w:r>
        <w:rPr>
          <w:color w:val="000000"/>
          <w:sz w:val="24"/>
          <w:szCs w:val="24"/>
        </w:rPr>
        <w:t>Kachemak</w:t>
      </w:r>
      <w:proofErr w:type="spellEnd"/>
      <w:r>
        <w:rPr>
          <w:color w:val="000000"/>
          <w:sz w:val="24"/>
          <w:szCs w:val="24"/>
        </w:rPr>
        <w:t xml:space="preserve"> Bay Campus (Homer) and two extended sites (Anchorage and Seward).  This pilot was done across all of KPC.</w:t>
      </w:r>
      <w:r>
        <w:rPr>
          <w:color w:val="1F497D"/>
        </w:rPr>
        <w:t xml:space="preserve">  </w:t>
      </w:r>
      <w:r>
        <w:rPr>
          <w:color w:val="000000"/>
          <w:sz w:val="24"/>
          <w:szCs w:val="24"/>
        </w:rPr>
        <w:t>KPC provided surveys for all classes, not just those with 10 or more enrolled.   </w:t>
      </w:r>
    </w:p>
    <w:p w:rsidR="003B5949" w:rsidRDefault="003B5949" w:rsidP="003B5949">
      <w:pPr>
        <w:rPr>
          <w:color w:val="1F497D"/>
        </w:rPr>
      </w:pPr>
    </w:p>
    <w:p w:rsidR="003B5949" w:rsidRDefault="003B5949" w:rsidP="003B5949">
      <w:pPr>
        <w:rPr>
          <w:color w:val="1F497D"/>
        </w:rPr>
      </w:pPr>
      <w:r>
        <w:rPr>
          <w:color w:val="1F497D"/>
        </w:rPr>
        <w:t>**Note that students in online classes are used to using Blackboard.  In the final report, I will compare this pilot year data to the previous academic year, as I expect digital surveys in face-to-face classes had even lower response rates than seen in the digital surveys for KPC online classes.</w:t>
      </w:r>
    </w:p>
    <w:p w:rsidR="003B5949" w:rsidRDefault="003B5949" w:rsidP="003B5949">
      <w:pPr>
        <w:rPr>
          <w:color w:val="1F497D"/>
        </w:rPr>
      </w:pPr>
    </w:p>
    <w:p w:rsidR="003B5949" w:rsidRDefault="003B5949" w:rsidP="003B5949">
      <w:pPr>
        <w:rPr>
          <w:color w:val="1F497D"/>
        </w:rPr>
      </w:pPr>
      <w:r>
        <w:rPr>
          <w:color w:val="1F497D"/>
        </w:rPr>
        <w:t xml:space="preserve">***Note that seven paper FIFs were not filled out correctly by faculty therefore no response rate could be calculated.  And five courses (all stacked) had too few students responding for data to be provided.  </w:t>
      </w:r>
    </w:p>
    <w:p w:rsidR="003B5949" w:rsidRDefault="003B5949" w:rsidP="003B5949">
      <w:pPr>
        <w:rPr>
          <w:color w:val="1F497D"/>
        </w:rPr>
      </w:pPr>
    </w:p>
    <w:p w:rsidR="003B5949" w:rsidRDefault="003B5949" w:rsidP="003B5949">
      <w:pPr>
        <w:rPr>
          <w:color w:val="1F497D"/>
        </w:rPr>
      </w:pPr>
    </w:p>
    <w:p w:rsidR="003B5949" w:rsidRDefault="003B5949" w:rsidP="003B5949"/>
    <w:p w:rsidR="003B5949" w:rsidRDefault="003B5949" w:rsidP="003B5949">
      <w:pPr>
        <w:rPr>
          <w:color w:val="1F497D"/>
        </w:rPr>
      </w:pPr>
      <w:r>
        <w:rPr>
          <w:noProof/>
        </w:rPr>
        <w:lastRenderedPageBreak/>
        <w:drawing>
          <wp:inline distT="0" distB="0" distL="0" distR="0" wp14:anchorId="01A3E3B4" wp14:editId="07630EF7">
            <wp:extent cx="7048500" cy="7181850"/>
            <wp:effectExtent l="0" t="0" r="0" b="0"/>
            <wp:docPr id="1" name="Picture 1" descr="cid:image001.png@01CF609C.4619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F609C.46196D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048500" cy="7181850"/>
                    </a:xfrm>
                    <a:prstGeom prst="rect">
                      <a:avLst/>
                    </a:prstGeom>
                    <a:noFill/>
                    <a:ln>
                      <a:noFill/>
                    </a:ln>
                  </pic:spPr>
                </pic:pic>
              </a:graphicData>
            </a:graphic>
          </wp:inline>
        </w:drawing>
      </w:r>
    </w:p>
    <w:p w:rsidR="003B5949" w:rsidRDefault="003B5949" w:rsidP="003B5949">
      <w:pPr>
        <w:rPr>
          <w:color w:val="1F497D"/>
        </w:rPr>
      </w:pPr>
    </w:p>
    <w:p w:rsidR="003B5949" w:rsidRDefault="003B5949" w:rsidP="003B5949">
      <w:pPr>
        <w:rPr>
          <w:color w:val="1F497D"/>
        </w:rPr>
      </w:pPr>
      <w:r>
        <w:rPr>
          <w:color w:val="1F497D"/>
        </w:rPr>
        <w:t>Additional information on Hours and Expense Tracking:</w:t>
      </w:r>
    </w:p>
    <w:p w:rsidR="003B5949" w:rsidRDefault="003B5949" w:rsidP="003B5949">
      <w:pPr>
        <w:rPr>
          <w:color w:val="1F497D"/>
        </w:rPr>
      </w:pPr>
    </w:p>
    <w:p w:rsidR="003B5949" w:rsidRDefault="003B5949" w:rsidP="003B5949">
      <w:pPr>
        <w:pStyle w:val="ListParagraph"/>
        <w:ind w:hanging="360"/>
        <w:rPr>
          <w:color w:val="1F497D"/>
        </w:rPr>
      </w:pPr>
      <w:r>
        <w:rPr>
          <w:color w:val="1F497D"/>
        </w:rPr>
        <w:t>1.</w:t>
      </w:r>
      <w:r>
        <w:rPr>
          <w:rFonts w:ascii="Times New Roman" w:hAnsi="Times New Roman"/>
          <w:color w:val="1F497D"/>
          <w:sz w:val="14"/>
          <w:szCs w:val="14"/>
        </w:rPr>
        <w:t xml:space="preserve">       </w:t>
      </w:r>
      <w:r>
        <w:rPr>
          <w:color w:val="1F497D"/>
        </w:rPr>
        <w:t xml:space="preserve">A </w:t>
      </w:r>
      <w:r>
        <w:rPr>
          <w:b/>
          <w:bCs/>
          <w:color w:val="1F497D"/>
        </w:rPr>
        <w:t>packet</w:t>
      </w:r>
      <w:r>
        <w:rPr>
          <w:color w:val="1F497D"/>
        </w:rPr>
        <w:t xml:space="preserve"> was a combination of paper instructions, paper FIF, and paper IDEA surveys all within an envelope; each face-to-face section received one packet.  A student returned the completed surveys in the packet envelope.  We produced seven more packets than needed. </w:t>
      </w:r>
    </w:p>
    <w:p w:rsidR="003B5949" w:rsidRDefault="003B5949" w:rsidP="003B5949">
      <w:pPr>
        <w:pStyle w:val="ListParagraph"/>
        <w:ind w:hanging="360"/>
        <w:rPr>
          <w:color w:val="1F497D"/>
        </w:rPr>
      </w:pPr>
      <w:r>
        <w:rPr>
          <w:color w:val="1F497D"/>
        </w:rPr>
        <w:t>2.</w:t>
      </w:r>
      <w:r>
        <w:rPr>
          <w:rFonts w:ascii="Times New Roman" w:hAnsi="Times New Roman"/>
          <w:color w:val="1F497D"/>
          <w:sz w:val="14"/>
          <w:szCs w:val="14"/>
        </w:rPr>
        <w:t xml:space="preserve">       </w:t>
      </w:r>
      <w:r>
        <w:rPr>
          <w:color w:val="1F497D"/>
        </w:rPr>
        <w:t>The IDEA Center costs are the marginal costs above the normal amount which UAA would spend on the digital IDEA surveys.</w:t>
      </w:r>
    </w:p>
    <w:p w:rsidR="003B5949" w:rsidRDefault="003B5949" w:rsidP="003B5949">
      <w:pPr>
        <w:rPr>
          <w:color w:val="1F497D"/>
        </w:rPr>
      </w:pPr>
    </w:p>
    <w:p w:rsidR="00DB3963" w:rsidRDefault="00DB3963"/>
    <w:sectPr w:rsidR="00DB3963" w:rsidSect="003B59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49"/>
    <w:rsid w:val="003B5949"/>
    <w:rsid w:val="00DB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4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949"/>
    <w:pPr>
      <w:ind w:left="720"/>
    </w:pPr>
  </w:style>
  <w:style w:type="paragraph" w:styleId="BalloonText">
    <w:name w:val="Balloon Text"/>
    <w:basedOn w:val="Normal"/>
    <w:link w:val="BalloonTextChar"/>
    <w:uiPriority w:val="99"/>
    <w:semiHidden/>
    <w:unhideWhenUsed/>
    <w:rsid w:val="003B5949"/>
    <w:rPr>
      <w:rFonts w:ascii="Tahoma" w:hAnsi="Tahoma" w:cs="Tahoma"/>
      <w:sz w:val="16"/>
      <w:szCs w:val="16"/>
    </w:rPr>
  </w:style>
  <w:style w:type="character" w:customStyle="1" w:styleId="BalloonTextChar">
    <w:name w:val="Balloon Text Char"/>
    <w:basedOn w:val="DefaultParagraphFont"/>
    <w:link w:val="BalloonText"/>
    <w:uiPriority w:val="99"/>
    <w:semiHidden/>
    <w:rsid w:val="003B59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4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949"/>
    <w:pPr>
      <w:ind w:left="720"/>
    </w:pPr>
  </w:style>
  <w:style w:type="paragraph" w:styleId="BalloonText">
    <w:name w:val="Balloon Text"/>
    <w:basedOn w:val="Normal"/>
    <w:link w:val="BalloonTextChar"/>
    <w:uiPriority w:val="99"/>
    <w:semiHidden/>
    <w:unhideWhenUsed/>
    <w:rsid w:val="003B5949"/>
    <w:rPr>
      <w:rFonts w:ascii="Tahoma" w:hAnsi="Tahoma" w:cs="Tahoma"/>
      <w:sz w:val="16"/>
      <w:szCs w:val="16"/>
    </w:rPr>
  </w:style>
  <w:style w:type="character" w:customStyle="1" w:styleId="BalloonTextChar">
    <w:name w:val="Balloon Text Char"/>
    <w:basedOn w:val="DefaultParagraphFont"/>
    <w:link w:val="BalloonText"/>
    <w:uiPriority w:val="99"/>
    <w:semiHidden/>
    <w:rsid w:val="003B5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6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F609C.46196DB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itsdesktop</dc:creator>
  <cp:lastModifiedBy>itsdesktop</cp:lastModifiedBy>
  <cp:revision>1</cp:revision>
  <dcterms:created xsi:type="dcterms:W3CDTF">2014-04-30T16:45:00Z</dcterms:created>
  <dcterms:modified xsi:type="dcterms:W3CDTF">2014-04-30T16:47:00Z</dcterms:modified>
</cp:coreProperties>
</file>