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88F" w:rsidRDefault="0048388F" w:rsidP="0048388F">
      <w:pPr>
        <w:spacing w:after="240"/>
        <w:jc w:val="center"/>
        <w:rPr>
          <w:b/>
          <w:bCs/>
          <w:sz w:val="40"/>
          <w:szCs w:val="40"/>
        </w:rPr>
      </w:pPr>
      <w:r>
        <w:rPr>
          <w:b/>
          <w:bCs/>
          <w:sz w:val="40"/>
          <w:szCs w:val="40"/>
        </w:rPr>
        <w:br/>
      </w:r>
      <w:r>
        <w:rPr>
          <w:b/>
          <w:bCs/>
          <w:sz w:val="40"/>
          <w:szCs w:val="40"/>
        </w:rPr>
        <w:t>May Update</w:t>
      </w:r>
    </w:p>
    <w:p w:rsidR="0048388F" w:rsidRDefault="0048388F" w:rsidP="0048388F">
      <w:pPr>
        <w:spacing w:after="120"/>
        <w:rPr>
          <w:sz w:val="24"/>
          <w:szCs w:val="24"/>
        </w:rPr>
      </w:pPr>
      <w:bookmarkStart w:id="0" w:name="_GoBack"/>
      <w:bookmarkEnd w:id="0"/>
      <w:r>
        <w:t xml:space="preserve">The Faculty Senate exists in order to provide a forum for and create a voice to address university-life issues including curriculum, student success, institutional development, and professional development. Below are the major items addressed in the September and October </w:t>
      </w:r>
      <w:proofErr w:type="gramStart"/>
      <w:r>
        <w:t>meetings.</w:t>
      </w:r>
      <w:proofErr w:type="gramEnd"/>
    </w:p>
    <w:p w:rsidR="0048388F" w:rsidRDefault="0048388F" w:rsidP="0048388F">
      <w:pPr>
        <w:spacing w:after="120"/>
      </w:pPr>
      <w:r>
        <w:rPr>
          <w:i/>
          <w:iCs/>
        </w:rPr>
        <w:t>IDEA Student Feedback</w:t>
      </w:r>
      <w:r>
        <w:t>: Kenai Peninsula College used the paper version of IDEA this academic year. The results from the fall 2013 semester, posted with the May senate agenda, are promising. UAA will continue to monitor this experiment.</w:t>
      </w:r>
    </w:p>
    <w:p w:rsidR="0048388F" w:rsidRDefault="0048388F" w:rsidP="0048388F">
      <w:pPr>
        <w:spacing w:after="120"/>
      </w:pPr>
      <w:r>
        <w:rPr>
          <w:i/>
          <w:iCs/>
        </w:rPr>
        <w:t>Student Code of Conduct</w:t>
      </w:r>
      <w:r>
        <w:t xml:space="preserve">: UAA’s Office of Student Affairs has been leading a revision process for the UA student code of conduct. Information can be found at </w:t>
      </w:r>
      <w:hyperlink r:id="rId7" w:history="1">
        <w:r>
          <w:rPr>
            <w:rStyle w:val="Hyperlink"/>
          </w:rPr>
          <w:t>http://www.uaa.alaska.edu/deanofstudents/StudentJudicialServices/code-of-conduct-review/</w:t>
        </w:r>
      </w:hyperlink>
      <w:r>
        <w:t xml:space="preserve"> </w:t>
      </w:r>
    </w:p>
    <w:p w:rsidR="0048388F" w:rsidRDefault="0048388F" w:rsidP="0048388F">
      <w:pPr>
        <w:spacing w:after="120"/>
      </w:pPr>
      <w:r>
        <w:rPr>
          <w:i/>
          <w:iCs/>
        </w:rPr>
        <w:t>Faculty Evaluation Guideline changes</w:t>
      </w:r>
      <w:r>
        <w:t>: Senate passed minor revisions to the FEGs which were mostly clarity and changes to match the latest UNAC CBA.</w:t>
      </w:r>
    </w:p>
    <w:p w:rsidR="0048388F" w:rsidRDefault="0048388F" w:rsidP="0048388F">
      <w:pPr>
        <w:spacing w:after="120"/>
      </w:pPr>
      <w:r>
        <w:rPr>
          <w:i/>
          <w:iCs/>
        </w:rPr>
        <w:t>Calendar</w:t>
      </w:r>
      <w:r>
        <w:t>: UAA’s discussion of alternate calendar and daily course times was impacted by a policy change by the UA Board of Regents. The regents, without faculty, student, or public input, changed UA policy to require the three universities to have the same calendar for the start of semesters and holidays and to have the same class times during the day. Making it easier for students to take distance courses from another UA university was the stated goal. No evidence of need was presented. The policy also requires 800 minutes of contact time per semester per credit hour. This equates to a 60 minute credit hour.</w:t>
      </w:r>
    </w:p>
    <w:p w:rsidR="0048388F" w:rsidRDefault="0048388F" w:rsidP="0048388F">
      <w:pPr>
        <w:spacing w:after="120"/>
      </w:pPr>
      <w:r>
        <w:t>UAA had already collected input from faculty on how to address class cancellation due to weather without impacting teaching and how to improve other aspects of the calendar. Combining UAA ideas with BOR restrictions led to three options which were presented as a poll to faculty, students, and staff. This feedback will be presented to the UAA administration.</w:t>
      </w:r>
    </w:p>
    <w:p w:rsidR="0048388F" w:rsidRDefault="0048388F" w:rsidP="0048388F">
      <w:pPr>
        <w:spacing w:after="120"/>
      </w:pPr>
      <w:r>
        <w:rPr>
          <w:i/>
          <w:iCs/>
        </w:rPr>
        <w:t>BOR Resolution on Developmental and GER courses</w:t>
      </w:r>
      <w:r>
        <w:t>: The BOR also resolved to require developmental and GER courses to be further coordinated across the UA universities. Math and English courses are expressly requested to be unified by fall 2016 in course number, name, description, and placement method. The rest of the GER’s are expected to be unified thereafter. The intent was to make transferring between UA universities easier. No evidence of need was presented. Faculty, staff, and students had not been consulted.</w:t>
      </w:r>
    </w:p>
    <w:p w:rsidR="0048388F" w:rsidRDefault="0048388F" w:rsidP="0048388F">
      <w:pPr>
        <w:spacing w:after="120"/>
      </w:pPr>
      <w:r>
        <w:t>The regents were divided on this resolution. The Senate chose to take formal action in the next academic year. However, per senate desire discussions with regents are ongoing to clarify and hopefully modify the resolution.</w:t>
      </w:r>
    </w:p>
    <w:p w:rsidR="0048388F" w:rsidRDefault="0048388F" w:rsidP="0048388F">
      <w:pPr>
        <w:spacing w:after="120"/>
      </w:pPr>
    </w:p>
    <w:p w:rsidR="0048388F" w:rsidRDefault="0048388F" w:rsidP="0048388F">
      <w:pPr>
        <w:spacing w:after="120"/>
      </w:pPr>
    </w:p>
    <w:p w:rsidR="0048388F" w:rsidRDefault="0048388F" w:rsidP="0048388F">
      <w:pPr>
        <w:spacing w:after="120"/>
      </w:pPr>
    </w:p>
    <w:p w:rsidR="0048388F" w:rsidRDefault="0048388F" w:rsidP="0048388F">
      <w:pPr>
        <w:spacing w:after="120"/>
      </w:pPr>
    </w:p>
    <w:p w:rsidR="0048388F" w:rsidRDefault="0048388F" w:rsidP="0048388F">
      <w:pPr>
        <w:spacing w:after="120"/>
      </w:pPr>
    </w:p>
    <w:p w:rsidR="0048388F" w:rsidRDefault="0048388F" w:rsidP="0048388F">
      <w:pPr>
        <w:spacing w:after="120"/>
      </w:pPr>
    </w:p>
    <w:p w:rsidR="0048388F" w:rsidRDefault="0048388F" w:rsidP="0048388F">
      <w:pPr>
        <w:spacing w:after="120"/>
      </w:pPr>
      <w:r>
        <w:lastRenderedPageBreak/>
        <w:t xml:space="preserve">For more information about what Faculty Senate completed this year, please see the meeting minutes included in senate agendas at </w:t>
      </w:r>
      <w:hyperlink r:id="rId8" w:history="1">
        <w:r>
          <w:rPr>
            <w:rStyle w:val="Hyperlink"/>
          </w:rPr>
          <w:t>http://www.uaa.alaska.edu/governance/facultysenate/</w:t>
        </w:r>
      </w:hyperlink>
      <w:r>
        <w:t xml:space="preserve"> . The final reports of committees are in the May agenda.</w:t>
      </w:r>
    </w:p>
    <w:p w:rsidR="0048388F" w:rsidRDefault="0048388F" w:rsidP="0048388F">
      <w:pPr>
        <w:spacing w:after="120"/>
      </w:pPr>
      <w:r>
        <w:t xml:space="preserve">Please remember that Faculty Senate exists to address items of concern to all </w:t>
      </w:r>
      <w:proofErr w:type="gramStart"/>
      <w:r>
        <w:t>faculty</w:t>
      </w:r>
      <w:proofErr w:type="gramEnd"/>
      <w:r>
        <w:t>. If you have a question or concern that you think is appropriate for senate to address, please contact the senate executive board, a senator, or one of the senate committees or boards.</w:t>
      </w:r>
    </w:p>
    <w:p w:rsidR="0048388F" w:rsidRDefault="0048388F" w:rsidP="0048388F">
      <w:pPr>
        <w:spacing w:after="120"/>
      </w:pPr>
      <w:r>
        <w:rPr>
          <w:noProof/>
        </w:rPr>
        <w:drawing>
          <wp:inline distT="0" distB="0" distL="0" distR="0">
            <wp:extent cx="2286000" cy="571500"/>
            <wp:effectExtent l="0" t="0" r="0" b="0"/>
            <wp:docPr id="1" name="Picture 1" descr="MAF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Fsignatur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86000" cy="571500"/>
                    </a:xfrm>
                    <a:prstGeom prst="rect">
                      <a:avLst/>
                    </a:prstGeom>
                    <a:noFill/>
                    <a:ln>
                      <a:noFill/>
                    </a:ln>
                  </pic:spPr>
                </pic:pic>
              </a:graphicData>
            </a:graphic>
          </wp:inline>
        </w:drawing>
      </w:r>
    </w:p>
    <w:p w:rsidR="0048388F" w:rsidRDefault="0048388F" w:rsidP="0048388F">
      <w:pPr>
        <w:spacing w:after="120"/>
      </w:pPr>
      <w:r>
        <w:t>Mark Fitch</w:t>
      </w:r>
      <w:r>
        <w:br/>
        <w:t>2013-14 Faculty Senate President</w:t>
      </w:r>
    </w:p>
    <w:p w:rsidR="008972A2" w:rsidRDefault="008972A2"/>
    <w:sectPr w:rsidR="008972A2" w:rsidSect="0048388F">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F5B" w:rsidRDefault="00591F5B" w:rsidP="0048388F">
      <w:r>
        <w:separator/>
      </w:r>
    </w:p>
  </w:endnote>
  <w:endnote w:type="continuationSeparator" w:id="0">
    <w:p w:rsidR="00591F5B" w:rsidRDefault="00591F5B" w:rsidP="0048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F5B" w:rsidRDefault="00591F5B" w:rsidP="0048388F">
      <w:r>
        <w:separator/>
      </w:r>
    </w:p>
  </w:footnote>
  <w:footnote w:type="continuationSeparator" w:id="0">
    <w:p w:rsidR="00591F5B" w:rsidRDefault="00591F5B" w:rsidP="00483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8F" w:rsidRDefault="0048388F">
    <w:pPr>
      <w:pStyle w:val="Header"/>
    </w:pPr>
  </w:p>
  <w:p w:rsidR="0048388F" w:rsidRDefault="004838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8F" w:rsidRDefault="0048388F">
    <w:pPr>
      <w:pStyle w:val="Header"/>
    </w:pPr>
    <w:r>
      <w:rPr>
        <w:noProof/>
      </w:rPr>
      <w:drawing>
        <wp:inline distT="0" distB="0" distL="0" distR="0" wp14:anchorId="4A2DF13F" wp14:editId="5F8CE31D">
          <wp:extent cx="3038475" cy="625758"/>
          <wp:effectExtent l="0" t="0" r="0" b="3175"/>
          <wp:docPr id="5" name="Picture 5" descr="cid:image005.jpg@01CF434E.7C169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434E.7C169A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38475" cy="62575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88F"/>
    <w:rsid w:val="0048388F"/>
    <w:rsid w:val="00591F5B"/>
    <w:rsid w:val="0089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88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388F"/>
    <w:rPr>
      <w:color w:val="0563C1"/>
      <w:u w:val="single"/>
    </w:rPr>
  </w:style>
  <w:style w:type="paragraph" w:styleId="BalloonText">
    <w:name w:val="Balloon Text"/>
    <w:basedOn w:val="Normal"/>
    <w:link w:val="BalloonTextChar"/>
    <w:uiPriority w:val="99"/>
    <w:semiHidden/>
    <w:unhideWhenUsed/>
    <w:rsid w:val="0048388F"/>
    <w:rPr>
      <w:rFonts w:ascii="Tahoma" w:hAnsi="Tahoma" w:cs="Tahoma"/>
      <w:sz w:val="16"/>
      <w:szCs w:val="16"/>
    </w:rPr>
  </w:style>
  <w:style w:type="character" w:customStyle="1" w:styleId="BalloonTextChar">
    <w:name w:val="Balloon Text Char"/>
    <w:basedOn w:val="DefaultParagraphFont"/>
    <w:link w:val="BalloonText"/>
    <w:uiPriority w:val="99"/>
    <w:semiHidden/>
    <w:rsid w:val="0048388F"/>
    <w:rPr>
      <w:rFonts w:ascii="Tahoma" w:hAnsi="Tahoma" w:cs="Tahoma"/>
      <w:sz w:val="16"/>
      <w:szCs w:val="16"/>
    </w:rPr>
  </w:style>
  <w:style w:type="paragraph" w:styleId="Header">
    <w:name w:val="header"/>
    <w:basedOn w:val="Normal"/>
    <w:link w:val="HeaderChar"/>
    <w:uiPriority w:val="99"/>
    <w:unhideWhenUsed/>
    <w:rsid w:val="0048388F"/>
    <w:pPr>
      <w:tabs>
        <w:tab w:val="center" w:pos="4680"/>
        <w:tab w:val="right" w:pos="9360"/>
      </w:tabs>
    </w:pPr>
  </w:style>
  <w:style w:type="character" w:customStyle="1" w:styleId="HeaderChar">
    <w:name w:val="Header Char"/>
    <w:basedOn w:val="DefaultParagraphFont"/>
    <w:link w:val="Header"/>
    <w:uiPriority w:val="99"/>
    <w:rsid w:val="0048388F"/>
    <w:rPr>
      <w:rFonts w:ascii="Calibri" w:hAnsi="Calibri" w:cs="Times New Roman"/>
    </w:rPr>
  </w:style>
  <w:style w:type="paragraph" w:styleId="Footer">
    <w:name w:val="footer"/>
    <w:basedOn w:val="Normal"/>
    <w:link w:val="FooterChar"/>
    <w:uiPriority w:val="99"/>
    <w:unhideWhenUsed/>
    <w:rsid w:val="0048388F"/>
    <w:pPr>
      <w:tabs>
        <w:tab w:val="center" w:pos="4680"/>
        <w:tab w:val="right" w:pos="9360"/>
      </w:tabs>
    </w:pPr>
  </w:style>
  <w:style w:type="character" w:customStyle="1" w:styleId="FooterChar">
    <w:name w:val="Footer Char"/>
    <w:basedOn w:val="DefaultParagraphFont"/>
    <w:link w:val="Footer"/>
    <w:uiPriority w:val="99"/>
    <w:rsid w:val="0048388F"/>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88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388F"/>
    <w:rPr>
      <w:color w:val="0563C1"/>
      <w:u w:val="single"/>
    </w:rPr>
  </w:style>
  <w:style w:type="paragraph" w:styleId="BalloonText">
    <w:name w:val="Balloon Text"/>
    <w:basedOn w:val="Normal"/>
    <w:link w:val="BalloonTextChar"/>
    <w:uiPriority w:val="99"/>
    <w:semiHidden/>
    <w:unhideWhenUsed/>
    <w:rsid w:val="0048388F"/>
    <w:rPr>
      <w:rFonts w:ascii="Tahoma" w:hAnsi="Tahoma" w:cs="Tahoma"/>
      <w:sz w:val="16"/>
      <w:szCs w:val="16"/>
    </w:rPr>
  </w:style>
  <w:style w:type="character" w:customStyle="1" w:styleId="BalloonTextChar">
    <w:name w:val="Balloon Text Char"/>
    <w:basedOn w:val="DefaultParagraphFont"/>
    <w:link w:val="BalloonText"/>
    <w:uiPriority w:val="99"/>
    <w:semiHidden/>
    <w:rsid w:val="0048388F"/>
    <w:rPr>
      <w:rFonts w:ascii="Tahoma" w:hAnsi="Tahoma" w:cs="Tahoma"/>
      <w:sz w:val="16"/>
      <w:szCs w:val="16"/>
    </w:rPr>
  </w:style>
  <w:style w:type="paragraph" w:styleId="Header">
    <w:name w:val="header"/>
    <w:basedOn w:val="Normal"/>
    <w:link w:val="HeaderChar"/>
    <w:uiPriority w:val="99"/>
    <w:unhideWhenUsed/>
    <w:rsid w:val="0048388F"/>
    <w:pPr>
      <w:tabs>
        <w:tab w:val="center" w:pos="4680"/>
        <w:tab w:val="right" w:pos="9360"/>
      </w:tabs>
    </w:pPr>
  </w:style>
  <w:style w:type="character" w:customStyle="1" w:styleId="HeaderChar">
    <w:name w:val="Header Char"/>
    <w:basedOn w:val="DefaultParagraphFont"/>
    <w:link w:val="Header"/>
    <w:uiPriority w:val="99"/>
    <w:rsid w:val="0048388F"/>
    <w:rPr>
      <w:rFonts w:ascii="Calibri" w:hAnsi="Calibri" w:cs="Times New Roman"/>
    </w:rPr>
  </w:style>
  <w:style w:type="paragraph" w:styleId="Footer">
    <w:name w:val="footer"/>
    <w:basedOn w:val="Normal"/>
    <w:link w:val="FooterChar"/>
    <w:uiPriority w:val="99"/>
    <w:unhideWhenUsed/>
    <w:rsid w:val="0048388F"/>
    <w:pPr>
      <w:tabs>
        <w:tab w:val="center" w:pos="4680"/>
        <w:tab w:val="right" w:pos="9360"/>
      </w:tabs>
    </w:pPr>
  </w:style>
  <w:style w:type="character" w:customStyle="1" w:styleId="FooterChar">
    <w:name w:val="Footer Char"/>
    <w:basedOn w:val="DefaultParagraphFont"/>
    <w:link w:val="Footer"/>
    <w:uiPriority w:val="99"/>
    <w:rsid w:val="0048388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20287">
      <w:bodyDiv w:val="1"/>
      <w:marLeft w:val="0"/>
      <w:marRight w:val="0"/>
      <w:marTop w:val="0"/>
      <w:marBottom w:val="0"/>
      <w:divBdr>
        <w:top w:val="none" w:sz="0" w:space="0" w:color="auto"/>
        <w:left w:val="none" w:sz="0" w:space="0" w:color="auto"/>
        <w:bottom w:val="none" w:sz="0" w:space="0" w:color="auto"/>
        <w:right w:val="none" w:sz="0" w:space="0" w:color="auto"/>
      </w:divBdr>
    </w:div>
    <w:div w:id="18033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alaska.edu/governance/facultysena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aa.alaska.edu/deanofstudents/StudentJudicialServices/code-of-conduct-review/"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image002.jpg@01CF696D.0AC925A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5.jpg@01CF434E.7C169AC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Harley N Hedlund</dc:creator>
  <cp:lastModifiedBy>Harley N Hedlund</cp:lastModifiedBy>
  <cp:revision>1</cp:revision>
  <dcterms:created xsi:type="dcterms:W3CDTF">2014-08-27T17:36:00Z</dcterms:created>
  <dcterms:modified xsi:type="dcterms:W3CDTF">2014-08-27T17:37:00Z</dcterms:modified>
</cp:coreProperties>
</file>