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51" w:rsidRDefault="00CF7951" w:rsidP="00CF7951">
      <w:pPr>
        <w:jc w:val="center"/>
        <w:rPr>
          <w:rFonts w:asciiTheme="minorHAnsi" w:hAnsiTheme="minorHAnsi" w:cstheme="minorHAnsi"/>
          <w:b/>
          <w:noProof/>
          <w:sz w:val="28"/>
          <w:szCs w:val="28"/>
        </w:rPr>
      </w:pPr>
      <w:r w:rsidRPr="00F272B8">
        <w:rPr>
          <w:rFonts w:asciiTheme="minorHAnsi" w:hAnsiTheme="minorHAnsi" w:cstheme="minorHAnsi"/>
          <w:noProof/>
        </w:rPr>
        <w:drawing>
          <wp:inline distT="0" distB="0" distL="0" distR="0" wp14:anchorId="01183A77" wp14:editId="19879F0E">
            <wp:extent cx="3745230" cy="1248410"/>
            <wp:effectExtent l="19050" t="0" r="7620" b="0"/>
            <wp:docPr id="1" name="Picture 0" descr="uaa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aa logo.wmf"/>
                    <pic:cNvPicPr>
                      <a:picLocks noChangeAspect="1" noChangeArrowheads="1"/>
                    </pic:cNvPicPr>
                  </pic:nvPicPr>
                  <pic:blipFill>
                    <a:blip r:embed="rId8" cstate="print"/>
                    <a:srcRect/>
                    <a:stretch>
                      <a:fillRect/>
                    </a:stretch>
                  </pic:blipFill>
                  <pic:spPr bwMode="auto">
                    <a:xfrm>
                      <a:off x="0" y="0"/>
                      <a:ext cx="3745230" cy="1248410"/>
                    </a:xfrm>
                    <a:prstGeom prst="rect">
                      <a:avLst/>
                    </a:prstGeom>
                    <a:noFill/>
                    <a:ln w="9525">
                      <a:noFill/>
                      <a:miter lim="800000"/>
                      <a:headEnd/>
                      <a:tailEnd/>
                    </a:ln>
                  </pic:spPr>
                </pic:pic>
              </a:graphicData>
            </a:graphic>
          </wp:inline>
        </w:drawing>
      </w:r>
    </w:p>
    <w:p w:rsidR="00CF7951" w:rsidRDefault="00CF7951" w:rsidP="00CF7951">
      <w:pPr>
        <w:jc w:val="center"/>
        <w:rPr>
          <w:rFonts w:asciiTheme="minorHAnsi" w:hAnsiTheme="minorHAnsi" w:cstheme="minorHAnsi"/>
          <w:b/>
          <w:noProof/>
          <w:sz w:val="28"/>
          <w:szCs w:val="28"/>
        </w:rPr>
      </w:pPr>
    </w:p>
    <w:p w:rsidR="00CF7951" w:rsidRPr="00BB7578" w:rsidRDefault="00CF7951" w:rsidP="00CF7951">
      <w:pPr>
        <w:jc w:val="center"/>
        <w:rPr>
          <w:rFonts w:asciiTheme="minorHAnsi" w:hAnsiTheme="minorHAnsi" w:cstheme="minorHAnsi"/>
          <w:b/>
          <w:noProof/>
          <w:sz w:val="16"/>
          <w:szCs w:val="28"/>
        </w:rPr>
      </w:pPr>
    </w:p>
    <w:p w:rsidR="00CF7951" w:rsidRPr="0013416E" w:rsidRDefault="00CF7951" w:rsidP="00CF7951">
      <w:pPr>
        <w:jc w:val="center"/>
        <w:rPr>
          <w:rFonts w:asciiTheme="minorHAnsi" w:hAnsiTheme="minorHAnsi" w:cstheme="minorHAnsi"/>
          <w:b/>
          <w:noProof/>
          <w:sz w:val="32"/>
          <w:szCs w:val="28"/>
        </w:rPr>
      </w:pPr>
      <w:r w:rsidRPr="0013416E">
        <w:rPr>
          <w:rFonts w:asciiTheme="minorHAnsi" w:hAnsiTheme="minorHAnsi" w:cstheme="minorHAnsi"/>
          <w:b/>
          <w:noProof/>
          <w:sz w:val="36"/>
          <w:szCs w:val="28"/>
        </w:rPr>
        <w:t>UAA FY16 Program Increments and Fixed Costs Requests</w:t>
      </w:r>
    </w:p>
    <w:p w:rsidR="00CF7951" w:rsidRPr="003464BF" w:rsidRDefault="00CF7951" w:rsidP="00CF7951">
      <w:pPr>
        <w:jc w:val="center"/>
        <w:rPr>
          <w:rFonts w:asciiTheme="minorHAnsi" w:hAnsiTheme="minorHAnsi" w:cstheme="minorHAnsi"/>
          <w:b/>
          <w:noProof/>
          <w:sz w:val="16"/>
          <w:szCs w:val="28"/>
        </w:rPr>
      </w:pPr>
    </w:p>
    <w:tbl>
      <w:tblPr>
        <w:tblStyle w:val="TableGrid"/>
        <w:tblW w:w="10638" w:type="dxa"/>
        <w:tblLayout w:type="fixed"/>
        <w:tblLook w:val="04A0" w:firstRow="1" w:lastRow="0" w:firstColumn="1" w:lastColumn="0" w:noHBand="0" w:noVBand="1"/>
      </w:tblPr>
      <w:tblGrid>
        <w:gridCol w:w="1305"/>
        <w:gridCol w:w="1746"/>
        <w:gridCol w:w="5247"/>
        <w:gridCol w:w="1187"/>
        <w:gridCol w:w="1153"/>
      </w:tblGrid>
      <w:tr w:rsidR="00CF7951" w:rsidRPr="00F272B8" w:rsidTr="0074377E">
        <w:trPr>
          <w:trHeight w:val="674"/>
        </w:trPr>
        <w:tc>
          <w:tcPr>
            <w:tcW w:w="10638" w:type="dxa"/>
            <w:gridSpan w:val="5"/>
            <w:vAlign w:val="center"/>
          </w:tcPr>
          <w:p w:rsidR="00CF7951" w:rsidRPr="00885B01" w:rsidRDefault="00CF7951" w:rsidP="007133CF">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PROGRAM INCREMENTS</w:t>
            </w:r>
            <w:r w:rsidR="00DB6999" w:rsidRPr="00885B01">
              <w:rPr>
                <w:rFonts w:asciiTheme="minorHAnsi" w:hAnsiTheme="minorHAnsi" w:cstheme="minorHAnsi"/>
                <w:b/>
                <w:noProof/>
                <w:sz w:val="28"/>
                <w:szCs w:val="28"/>
              </w:rPr>
              <w:t>-Health Care By and For Alaskans</w:t>
            </w:r>
          </w:p>
        </w:tc>
      </w:tr>
      <w:tr w:rsidR="00CF7951" w:rsidRPr="00F272B8" w:rsidTr="007133CF">
        <w:trPr>
          <w:trHeight w:val="683"/>
        </w:trPr>
        <w:tc>
          <w:tcPr>
            <w:tcW w:w="1305" w:type="dxa"/>
            <w:vAlign w:val="bottom"/>
          </w:tcPr>
          <w:p w:rsidR="00CF7951" w:rsidRPr="00885B01" w:rsidRDefault="00CF7951" w:rsidP="00DB6999">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 xml:space="preserve">MAU </w:t>
            </w:r>
            <w:r w:rsidR="00DB6999" w:rsidRPr="00885B01">
              <w:rPr>
                <w:rFonts w:asciiTheme="minorHAnsi" w:hAnsiTheme="minorHAnsi" w:cstheme="minorHAnsi"/>
                <w:b/>
                <w:noProof/>
                <w:sz w:val="28"/>
                <w:szCs w:val="28"/>
              </w:rPr>
              <w:t>Ranking</w:t>
            </w:r>
          </w:p>
        </w:tc>
        <w:tc>
          <w:tcPr>
            <w:tcW w:w="1746" w:type="dxa"/>
            <w:vAlign w:val="bottom"/>
          </w:tcPr>
          <w:p w:rsidR="00CF7951" w:rsidRPr="00885B01" w:rsidRDefault="00CF7951" w:rsidP="00CF7951">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Program SAF Theme</w:t>
            </w:r>
          </w:p>
        </w:tc>
        <w:tc>
          <w:tcPr>
            <w:tcW w:w="5247" w:type="dxa"/>
            <w:vAlign w:val="bottom"/>
          </w:tcPr>
          <w:p w:rsidR="00CF7951" w:rsidRPr="00885B01" w:rsidRDefault="00CF7951" w:rsidP="007133CF">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Title</w:t>
            </w:r>
          </w:p>
        </w:tc>
        <w:tc>
          <w:tcPr>
            <w:tcW w:w="1187" w:type="dxa"/>
            <w:vAlign w:val="bottom"/>
          </w:tcPr>
          <w:p w:rsidR="00CF7951" w:rsidRPr="00885B01" w:rsidRDefault="00CF7951" w:rsidP="007133CF">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GF</w:t>
            </w:r>
          </w:p>
        </w:tc>
        <w:tc>
          <w:tcPr>
            <w:tcW w:w="1153" w:type="dxa"/>
            <w:vAlign w:val="bottom"/>
          </w:tcPr>
          <w:p w:rsidR="00CF7951" w:rsidRPr="00885B01" w:rsidRDefault="00CF7951" w:rsidP="007133CF">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NGF</w:t>
            </w:r>
          </w:p>
        </w:tc>
      </w:tr>
      <w:tr w:rsidR="00A247E8" w:rsidRPr="00F272B8" w:rsidTr="00411B80">
        <w:trPr>
          <w:trHeight w:val="587"/>
        </w:trPr>
        <w:tc>
          <w:tcPr>
            <w:tcW w:w="1305" w:type="dxa"/>
          </w:tcPr>
          <w:p w:rsidR="00A247E8" w:rsidRPr="00885B01" w:rsidRDefault="00A247E8" w:rsidP="007133CF">
            <w:pPr>
              <w:jc w:val="center"/>
              <w:rPr>
                <w:rFonts w:asciiTheme="minorHAnsi" w:hAnsiTheme="minorHAnsi" w:cs="Calibri"/>
              </w:rPr>
            </w:pPr>
            <w:r w:rsidRPr="00885B01">
              <w:rPr>
                <w:rFonts w:asciiTheme="minorHAnsi" w:hAnsiTheme="minorHAnsi" w:cs="Calibri"/>
              </w:rPr>
              <w:t>1</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 xml:space="preserve">1D/E/F, 2A/C, 3A/C, 4A </w:t>
            </w:r>
          </w:p>
        </w:tc>
        <w:tc>
          <w:tcPr>
            <w:tcW w:w="5247" w:type="dxa"/>
            <w:vAlign w:val="bottom"/>
          </w:tcPr>
          <w:p w:rsidR="00A247E8" w:rsidRPr="00885B01" w:rsidRDefault="00A247E8" w:rsidP="0058511F">
            <w:pPr>
              <w:rPr>
                <w:rFonts w:asciiTheme="minorHAnsi" w:hAnsiTheme="minorHAnsi"/>
                <w:sz w:val="24"/>
                <w:szCs w:val="24"/>
              </w:rPr>
            </w:pPr>
            <w:r w:rsidRPr="00885B01">
              <w:rPr>
                <w:rFonts w:asciiTheme="minorHAnsi" w:hAnsiTheme="minorHAnsi"/>
              </w:rPr>
              <w:t xml:space="preserve">Alaska Health Education Center (AHEC) System: Health Workforce Pipeline </w:t>
            </w:r>
          </w:p>
        </w:tc>
        <w:tc>
          <w:tcPr>
            <w:tcW w:w="1187" w:type="dxa"/>
            <w:vAlign w:val="bottom"/>
          </w:tcPr>
          <w:p w:rsidR="00A247E8" w:rsidRPr="00885B01" w:rsidRDefault="00A247E8" w:rsidP="004D4E46">
            <w:pPr>
              <w:rPr>
                <w:rFonts w:asciiTheme="minorHAnsi" w:hAnsiTheme="minorHAnsi"/>
                <w:iCs/>
                <w:sz w:val="24"/>
                <w:szCs w:val="24"/>
              </w:rPr>
            </w:pPr>
            <w:r w:rsidRPr="00885B01">
              <w:rPr>
                <w:rFonts w:asciiTheme="minorHAnsi" w:hAnsiTheme="minorHAnsi"/>
                <w:iCs/>
              </w:rPr>
              <w:t xml:space="preserve">         330.0 </w:t>
            </w:r>
          </w:p>
        </w:tc>
        <w:tc>
          <w:tcPr>
            <w:tcW w:w="1153" w:type="dxa"/>
            <w:vAlign w:val="bottom"/>
          </w:tcPr>
          <w:p w:rsidR="00A247E8" w:rsidRPr="00885B01" w:rsidRDefault="00A247E8" w:rsidP="00411B80">
            <w:pPr>
              <w:jc w:val="right"/>
              <w:rPr>
                <w:rFonts w:asciiTheme="minorHAnsi" w:hAnsiTheme="minorHAnsi" w:cs="Calibri"/>
              </w:rPr>
            </w:pPr>
          </w:p>
        </w:tc>
      </w:tr>
      <w:tr w:rsidR="00A7345A" w:rsidRPr="00F272B8" w:rsidTr="00411B80">
        <w:trPr>
          <w:trHeight w:val="587"/>
        </w:trPr>
        <w:tc>
          <w:tcPr>
            <w:tcW w:w="1305" w:type="dxa"/>
          </w:tcPr>
          <w:p w:rsidR="00A7345A" w:rsidRPr="00885B01" w:rsidRDefault="00A7345A" w:rsidP="007133CF">
            <w:pPr>
              <w:jc w:val="center"/>
              <w:rPr>
                <w:rFonts w:asciiTheme="minorHAnsi" w:hAnsiTheme="minorHAnsi" w:cs="Calibri"/>
              </w:rPr>
            </w:pPr>
            <w:r>
              <w:rPr>
                <w:rFonts w:asciiTheme="minorHAnsi" w:hAnsiTheme="minorHAnsi" w:cs="Calibri"/>
              </w:rPr>
              <w:t>2</w:t>
            </w:r>
          </w:p>
        </w:tc>
        <w:tc>
          <w:tcPr>
            <w:tcW w:w="1746" w:type="dxa"/>
            <w:vAlign w:val="bottom"/>
          </w:tcPr>
          <w:p w:rsidR="00A7345A" w:rsidRPr="00885B01" w:rsidRDefault="00A7345A" w:rsidP="00C20424">
            <w:pPr>
              <w:jc w:val="center"/>
              <w:rPr>
                <w:rFonts w:asciiTheme="minorHAnsi" w:hAnsiTheme="minorHAnsi"/>
                <w:color w:val="000000"/>
                <w:sz w:val="24"/>
                <w:szCs w:val="24"/>
              </w:rPr>
            </w:pPr>
            <w:r w:rsidRPr="00885B01">
              <w:rPr>
                <w:rFonts w:asciiTheme="minorHAnsi" w:hAnsiTheme="minorHAnsi"/>
                <w:color w:val="000000"/>
              </w:rPr>
              <w:t>5D</w:t>
            </w:r>
          </w:p>
        </w:tc>
        <w:tc>
          <w:tcPr>
            <w:tcW w:w="5247" w:type="dxa"/>
            <w:vAlign w:val="bottom"/>
          </w:tcPr>
          <w:p w:rsidR="00A7345A" w:rsidRPr="00885B01" w:rsidRDefault="00A7345A" w:rsidP="00C20424">
            <w:pPr>
              <w:rPr>
                <w:rFonts w:asciiTheme="minorHAnsi" w:hAnsiTheme="minorHAnsi"/>
                <w:sz w:val="24"/>
                <w:szCs w:val="24"/>
              </w:rPr>
            </w:pPr>
            <w:r w:rsidRPr="00885B01">
              <w:rPr>
                <w:rFonts w:asciiTheme="minorHAnsi" w:hAnsiTheme="minorHAnsi"/>
              </w:rPr>
              <w:t>College of Health Compliance Officer</w:t>
            </w:r>
          </w:p>
        </w:tc>
        <w:tc>
          <w:tcPr>
            <w:tcW w:w="1187" w:type="dxa"/>
            <w:vAlign w:val="bottom"/>
          </w:tcPr>
          <w:p w:rsidR="00A7345A" w:rsidRPr="00885B01" w:rsidRDefault="00A7345A" w:rsidP="00C20424">
            <w:pPr>
              <w:rPr>
                <w:rFonts w:asciiTheme="minorHAnsi" w:hAnsiTheme="minorHAnsi"/>
                <w:iCs/>
                <w:sz w:val="24"/>
                <w:szCs w:val="24"/>
              </w:rPr>
            </w:pPr>
            <w:r w:rsidRPr="00885B01">
              <w:rPr>
                <w:rFonts w:asciiTheme="minorHAnsi" w:hAnsiTheme="minorHAnsi"/>
                <w:iCs/>
              </w:rPr>
              <w:t xml:space="preserve">         150.0 </w:t>
            </w:r>
          </w:p>
        </w:tc>
        <w:tc>
          <w:tcPr>
            <w:tcW w:w="1153" w:type="dxa"/>
            <w:vAlign w:val="bottom"/>
          </w:tcPr>
          <w:p w:rsidR="00A7345A" w:rsidRDefault="00A7345A" w:rsidP="00411B80">
            <w:pPr>
              <w:jc w:val="right"/>
              <w:rPr>
                <w:rFonts w:asciiTheme="minorHAnsi" w:hAnsiTheme="minorHAnsi" w:cs="Calibri"/>
              </w:rPr>
            </w:pPr>
          </w:p>
        </w:tc>
      </w:tr>
      <w:tr w:rsidR="00A247E8" w:rsidRPr="00F272B8" w:rsidTr="00411B80">
        <w:trPr>
          <w:trHeight w:val="587"/>
        </w:trPr>
        <w:tc>
          <w:tcPr>
            <w:tcW w:w="1305" w:type="dxa"/>
          </w:tcPr>
          <w:p w:rsidR="00A247E8" w:rsidRPr="00885B01" w:rsidRDefault="00A7345A" w:rsidP="007133CF">
            <w:pPr>
              <w:jc w:val="center"/>
              <w:rPr>
                <w:rFonts w:asciiTheme="minorHAnsi" w:hAnsiTheme="minorHAnsi" w:cs="Calibri"/>
              </w:rPr>
            </w:pPr>
            <w:r>
              <w:rPr>
                <w:rFonts w:asciiTheme="minorHAnsi" w:hAnsiTheme="minorHAnsi" w:cs="Calibri"/>
              </w:rPr>
              <w:t>3</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 xml:space="preserve">1D/F, 3A </w:t>
            </w:r>
          </w:p>
        </w:tc>
        <w:tc>
          <w:tcPr>
            <w:tcW w:w="5247" w:type="dxa"/>
            <w:vAlign w:val="bottom"/>
          </w:tcPr>
          <w:p w:rsidR="00A247E8" w:rsidRPr="00885B01" w:rsidRDefault="00A247E8">
            <w:pPr>
              <w:rPr>
                <w:rFonts w:asciiTheme="minorHAnsi" w:hAnsiTheme="minorHAnsi"/>
                <w:color w:val="000000"/>
                <w:sz w:val="24"/>
                <w:szCs w:val="24"/>
              </w:rPr>
            </w:pPr>
            <w:r w:rsidRPr="00885B01">
              <w:rPr>
                <w:rFonts w:asciiTheme="minorHAnsi" w:hAnsiTheme="minorHAnsi"/>
                <w:color w:val="000000"/>
              </w:rPr>
              <w:t>Meeting Alaska’s High Demand for Jobs in Healthcare through Dietetics &amp; Nutrition Education</w:t>
            </w:r>
          </w:p>
        </w:tc>
        <w:tc>
          <w:tcPr>
            <w:tcW w:w="1187" w:type="dxa"/>
            <w:vAlign w:val="bottom"/>
          </w:tcPr>
          <w:p w:rsidR="00A247E8" w:rsidRPr="00885B01" w:rsidRDefault="00A247E8" w:rsidP="004D4E46">
            <w:pPr>
              <w:rPr>
                <w:rFonts w:asciiTheme="minorHAnsi" w:hAnsiTheme="minorHAnsi"/>
                <w:sz w:val="24"/>
                <w:szCs w:val="24"/>
              </w:rPr>
            </w:pPr>
            <w:r w:rsidRPr="00885B01">
              <w:rPr>
                <w:rFonts w:asciiTheme="minorHAnsi" w:hAnsiTheme="minorHAnsi"/>
              </w:rPr>
              <w:t xml:space="preserve">         139.5 </w:t>
            </w:r>
          </w:p>
        </w:tc>
        <w:tc>
          <w:tcPr>
            <w:tcW w:w="1153" w:type="dxa"/>
            <w:vAlign w:val="bottom"/>
          </w:tcPr>
          <w:p w:rsidR="00A247E8" w:rsidRPr="00885B01" w:rsidRDefault="00A247E8" w:rsidP="00411B80">
            <w:pPr>
              <w:jc w:val="right"/>
              <w:rPr>
                <w:rFonts w:asciiTheme="minorHAnsi" w:hAnsiTheme="minorHAnsi" w:cs="Calibri"/>
              </w:rPr>
            </w:pPr>
          </w:p>
        </w:tc>
      </w:tr>
      <w:tr w:rsidR="00A247E8" w:rsidRPr="00F272B8" w:rsidTr="00411B80">
        <w:trPr>
          <w:trHeight w:val="587"/>
        </w:trPr>
        <w:tc>
          <w:tcPr>
            <w:tcW w:w="1305" w:type="dxa"/>
          </w:tcPr>
          <w:p w:rsidR="00A247E8" w:rsidRPr="00885B01" w:rsidRDefault="00A7345A" w:rsidP="007133CF">
            <w:pPr>
              <w:jc w:val="center"/>
              <w:rPr>
                <w:rFonts w:asciiTheme="minorHAnsi" w:hAnsiTheme="minorHAnsi" w:cs="Calibri"/>
              </w:rPr>
            </w:pPr>
            <w:r>
              <w:rPr>
                <w:rFonts w:asciiTheme="minorHAnsi" w:hAnsiTheme="minorHAnsi" w:cs="Calibri"/>
              </w:rPr>
              <w:t>4</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 xml:space="preserve">1D, 3A </w:t>
            </w:r>
          </w:p>
        </w:tc>
        <w:tc>
          <w:tcPr>
            <w:tcW w:w="5247" w:type="dxa"/>
            <w:vAlign w:val="bottom"/>
          </w:tcPr>
          <w:p w:rsidR="00A247E8" w:rsidRPr="00885B01" w:rsidRDefault="00A247E8">
            <w:pPr>
              <w:rPr>
                <w:rFonts w:asciiTheme="minorHAnsi" w:hAnsiTheme="minorHAnsi"/>
                <w:sz w:val="24"/>
                <w:szCs w:val="24"/>
              </w:rPr>
            </w:pPr>
            <w:r w:rsidRPr="00885B01">
              <w:rPr>
                <w:rFonts w:asciiTheme="minorHAnsi" w:hAnsiTheme="minorHAnsi"/>
              </w:rPr>
              <w:t>Diagnostic Medical Sonography</w:t>
            </w:r>
          </w:p>
        </w:tc>
        <w:tc>
          <w:tcPr>
            <w:tcW w:w="1187" w:type="dxa"/>
            <w:vAlign w:val="bottom"/>
          </w:tcPr>
          <w:p w:rsidR="00A247E8" w:rsidRPr="00885B01" w:rsidRDefault="00A247E8" w:rsidP="004D4E46">
            <w:pPr>
              <w:rPr>
                <w:rFonts w:asciiTheme="minorHAnsi" w:hAnsiTheme="minorHAnsi"/>
                <w:iCs/>
                <w:sz w:val="24"/>
                <w:szCs w:val="24"/>
              </w:rPr>
            </w:pPr>
            <w:r w:rsidRPr="00885B01">
              <w:rPr>
                <w:rFonts w:asciiTheme="minorHAnsi" w:hAnsiTheme="minorHAnsi"/>
                <w:iCs/>
              </w:rPr>
              <w:t xml:space="preserve">         121.5 </w:t>
            </w:r>
          </w:p>
        </w:tc>
        <w:tc>
          <w:tcPr>
            <w:tcW w:w="1153" w:type="dxa"/>
            <w:vAlign w:val="bottom"/>
          </w:tcPr>
          <w:p w:rsidR="00A247E8" w:rsidRPr="00885B01" w:rsidRDefault="00A247E8" w:rsidP="00411B80">
            <w:pPr>
              <w:jc w:val="right"/>
              <w:rPr>
                <w:rFonts w:asciiTheme="minorHAnsi" w:hAnsiTheme="minorHAnsi" w:cs="Calibri"/>
              </w:rPr>
            </w:pPr>
          </w:p>
        </w:tc>
      </w:tr>
      <w:tr w:rsidR="00A247E8" w:rsidRPr="00F272B8" w:rsidTr="00411B80">
        <w:trPr>
          <w:trHeight w:val="587"/>
        </w:trPr>
        <w:tc>
          <w:tcPr>
            <w:tcW w:w="1305" w:type="dxa"/>
          </w:tcPr>
          <w:p w:rsidR="00A247E8" w:rsidRPr="00885B01" w:rsidRDefault="00A7345A" w:rsidP="007133CF">
            <w:pPr>
              <w:jc w:val="center"/>
              <w:rPr>
                <w:rFonts w:asciiTheme="minorHAnsi" w:hAnsiTheme="minorHAnsi" w:cs="Calibri"/>
              </w:rPr>
            </w:pPr>
            <w:r>
              <w:rPr>
                <w:rFonts w:asciiTheme="minorHAnsi" w:hAnsiTheme="minorHAnsi" w:cs="Calibri"/>
              </w:rPr>
              <w:t>5</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3A</w:t>
            </w:r>
          </w:p>
        </w:tc>
        <w:tc>
          <w:tcPr>
            <w:tcW w:w="5247" w:type="dxa"/>
            <w:vAlign w:val="bottom"/>
          </w:tcPr>
          <w:p w:rsidR="00A247E8" w:rsidRPr="00885B01" w:rsidRDefault="00A247E8">
            <w:pPr>
              <w:rPr>
                <w:rFonts w:asciiTheme="minorHAnsi" w:hAnsiTheme="minorHAnsi"/>
                <w:sz w:val="24"/>
                <w:szCs w:val="24"/>
              </w:rPr>
            </w:pPr>
            <w:r w:rsidRPr="00885B01">
              <w:rPr>
                <w:rFonts w:asciiTheme="minorHAnsi" w:hAnsiTheme="minorHAnsi"/>
              </w:rPr>
              <w:t>Expanded Dental Programs and Functions</w:t>
            </w:r>
          </w:p>
        </w:tc>
        <w:tc>
          <w:tcPr>
            <w:tcW w:w="1187" w:type="dxa"/>
            <w:vAlign w:val="bottom"/>
          </w:tcPr>
          <w:p w:rsidR="00A247E8" w:rsidRPr="00885B01" w:rsidRDefault="00A247E8" w:rsidP="004D4E46">
            <w:pPr>
              <w:rPr>
                <w:rFonts w:asciiTheme="minorHAnsi" w:hAnsiTheme="minorHAnsi"/>
                <w:iCs/>
                <w:sz w:val="24"/>
                <w:szCs w:val="24"/>
              </w:rPr>
            </w:pPr>
            <w:r w:rsidRPr="00885B01">
              <w:rPr>
                <w:rFonts w:asciiTheme="minorHAnsi" w:hAnsiTheme="minorHAnsi"/>
                <w:iCs/>
              </w:rPr>
              <w:t xml:space="preserve">           77.0</w:t>
            </w:r>
          </w:p>
        </w:tc>
        <w:tc>
          <w:tcPr>
            <w:tcW w:w="1153" w:type="dxa"/>
            <w:vAlign w:val="bottom"/>
          </w:tcPr>
          <w:p w:rsidR="00A247E8" w:rsidRPr="00885B01" w:rsidRDefault="00A247E8" w:rsidP="00411B80">
            <w:pPr>
              <w:jc w:val="right"/>
              <w:rPr>
                <w:rFonts w:asciiTheme="minorHAnsi" w:hAnsiTheme="minorHAnsi" w:cs="Calibri"/>
              </w:rPr>
            </w:pPr>
          </w:p>
        </w:tc>
      </w:tr>
      <w:tr w:rsidR="00CF7951" w:rsidRPr="00F272B8" w:rsidTr="00411B80">
        <w:trPr>
          <w:trHeight w:val="287"/>
        </w:trPr>
        <w:tc>
          <w:tcPr>
            <w:tcW w:w="8298" w:type="dxa"/>
            <w:gridSpan w:val="3"/>
          </w:tcPr>
          <w:p w:rsidR="00CF7951" w:rsidRPr="00885B01" w:rsidRDefault="00CF7951" w:rsidP="00DB6999">
            <w:pPr>
              <w:jc w:val="right"/>
              <w:rPr>
                <w:rFonts w:asciiTheme="minorHAnsi" w:hAnsiTheme="minorHAnsi" w:cstheme="minorHAnsi"/>
                <w:noProof/>
              </w:rPr>
            </w:pPr>
            <w:r w:rsidRPr="00885B01">
              <w:rPr>
                <w:rFonts w:asciiTheme="minorHAnsi" w:hAnsiTheme="minorHAnsi" w:cstheme="minorHAnsi"/>
                <w:b/>
                <w:noProof/>
              </w:rPr>
              <w:t xml:space="preserve">Total </w:t>
            </w:r>
            <w:r w:rsidR="00DB6999" w:rsidRPr="00885B01">
              <w:rPr>
                <w:rFonts w:asciiTheme="minorHAnsi" w:hAnsiTheme="minorHAnsi" w:cstheme="minorHAnsi"/>
                <w:b/>
                <w:noProof/>
              </w:rPr>
              <w:t>Health Care</w:t>
            </w:r>
            <w:r w:rsidRPr="00885B01">
              <w:rPr>
                <w:rFonts w:asciiTheme="minorHAnsi" w:hAnsiTheme="minorHAnsi" w:cstheme="minorHAnsi"/>
                <w:b/>
                <w:noProof/>
              </w:rPr>
              <w:t xml:space="preserve"> Requests</w:t>
            </w:r>
          </w:p>
        </w:tc>
        <w:tc>
          <w:tcPr>
            <w:tcW w:w="1187" w:type="dxa"/>
          </w:tcPr>
          <w:p w:rsidR="00CF7951" w:rsidRPr="00885B01" w:rsidRDefault="004D4E46" w:rsidP="007133CF">
            <w:pPr>
              <w:jc w:val="right"/>
              <w:rPr>
                <w:rFonts w:asciiTheme="minorHAnsi" w:hAnsiTheme="minorHAnsi" w:cs="Calibri"/>
                <w:b/>
                <w:bCs/>
              </w:rPr>
            </w:pPr>
            <w:r w:rsidRPr="00885B01">
              <w:rPr>
                <w:rFonts w:asciiTheme="minorHAnsi" w:hAnsiTheme="minorHAnsi" w:cs="Calibri"/>
                <w:b/>
                <w:bCs/>
              </w:rPr>
              <w:t>818.0</w:t>
            </w:r>
          </w:p>
        </w:tc>
        <w:tc>
          <w:tcPr>
            <w:tcW w:w="1153" w:type="dxa"/>
            <w:vAlign w:val="bottom"/>
          </w:tcPr>
          <w:p w:rsidR="00CF7951" w:rsidRPr="00885B01" w:rsidRDefault="00CF7951" w:rsidP="00411B80">
            <w:pPr>
              <w:jc w:val="right"/>
              <w:rPr>
                <w:rFonts w:asciiTheme="minorHAnsi" w:hAnsiTheme="minorHAnsi" w:cs="Calibri"/>
                <w:b/>
                <w:bCs/>
              </w:rPr>
            </w:pPr>
          </w:p>
        </w:tc>
      </w:tr>
      <w:tr w:rsidR="004E43AD" w:rsidRPr="00F272B8" w:rsidTr="0074377E">
        <w:trPr>
          <w:trHeight w:val="827"/>
        </w:trPr>
        <w:tc>
          <w:tcPr>
            <w:tcW w:w="10638" w:type="dxa"/>
            <w:gridSpan w:val="5"/>
            <w:vAlign w:val="center"/>
          </w:tcPr>
          <w:p w:rsidR="004E43AD" w:rsidRPr="00885B01" w:rsidRDefault="004E43AD" w:rsidP="004E43AD">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 xml:space="preserve">PROGRAM INCREMENTS-Support State Workforce Development </w:t>
            </w:r>
          </w:p>
        </w:tc>
      </w:tr>
      <w:tr w:rsidR="00A247E8" w:rsidRPr="00F272B8" w:rsidTr="00411B80">
        <w:trPr>
          <w:trHeight w:val="587"/>
        </w:trPr>
        <w:tc>
          <w:tcPr>
            <w:tcW w:w="1305" w:type="dxa"/>
          </w:tcPr>
          <w:p w:rsidR="00A247E8" w:rsidRPr="00885B01" w:rsidRDefault="00A247E8" w:rsidP="007133CF">
            <w:pPr>
              <w:jc w:val="center"/>
              <w:rPr>
                <w:rFonts w:asciiTheme="minorHAnsi" w:hAnsiTheme="minorHAnsi" w:cs="Calibri"/>
              </w:rPr>
            </w:pPr>
            <w:r w:rsidRPr="00885B01">
              <w:rPr>
                <w:rFonts w:asciiTheme="minorHAnsi" w:hAnsiTheme="minorHAnsi" w:cs="Calibri"/>
              </w:rPr>
              <w:t>1</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1D/F, 3A, 4A</w:t>
            </w:r>
          </w:p>
        </w:tc>
        <w:tc>
          <w:tcPr>
            <w:tcW w:w="5247" w:type="dxa"/>
            <w:vAlign w:val="bottom"/>
          </w:tcPr>
          <w:p w:rsidR="00A247E8" w:rsidRPr="00885B01" w:rsidRDefault="00A247E8">
            <w:pPr>
              <w:rPr>
                <w:rFonts w:asciiTheme="minorHAnsi" w:hAnsiTheme="minorHAnsi"/>
                <w:sz w:val="24"/>
                <w:szCs w:val="24"/>
              </w:rPr>
            </w:pPr>
            <w:r w:rsidRPr="00885B01">
              <w:rPr>
                <w:rFonts w:asciiTheme="minorHAnsi" w:hAnsiTheme="minorHAnsi"/>
              </w:rPr>
              <w:t>Tenure-Track Faculty position in Geophysics</w:t>
            </w:r>
          </w:p>
        </w:tc>
        <w:tc>
          <w:tcPr>
            <w:tcW w:w="1187" w:type="dxa"/>
            <w:vAlign w:val="bottom"/>
          </w:tcPr>
          <w:p w:rsidR="00A247E8" w:rsidRPr="00885B01" w:rsidRDefault="00A247E8" w:rsidP="004D4E46">
            <w:pPr>
              <w:rPr>
                <w:rFonts w:asciiTheme="minorHAnsi" w:hAnsiTheme="minorHAnsi"/>
                <w:iCs/>
                <w:sz w:val="24"/>
                <w:szCs w:val="24"/>
              </w:rPr>
            </w:pPr>
            <w:r w:rsidRPr="00885B01">
              <w:rPr>
                <w:rFonts w:asciiTheme="minorHAnsi" w:hAnsiTheme="minorHAnsi"/>
                <w:iCs/>
              </w:rPr>
              <w:t xml:space="preserve">         115.0 </w:t>
            </w:r>
          </w:p>
        </w:tc>
        <w:tc>
          <w:tcPr>
            <w:tcW w:w="1153" w:type="dxa"/>
            <w:vAlign w:val="bottom"/>
          </w:tcPr>
          <w:p w:rsidR="00A247E8" w:rsidRPr="00885B01" w:rsidRDefault="00D46919" w:rsidP="00411B80">
            <w:pPr>
              <w:jc w:val="right"/>
              <w:rPr>
                <w:rFonts w:asciiTheme="minorHAnsi" w:hAnsiTheme="minorHAnsi" w:cs="Calibri"/>
              </w:rPr>
            </w:pPr>
            <w:r>
              <w:rPr>
                <w:rFonts w:asciiTheme="minorHAnsi" w:hAnsiTheme="minorHAnsi" w:cs="Calibri"/>
              </w:rPr>
              <w:t>2</w:t>
            </w:r>
            <w:r w:rsidR="00226E17">
              <w:rPr>
                <w:rFonts w:asciiTheme="minorHAnsi" w:hAnsiTheme="minorHAnsi" w:cs="Calibri"/>
              </w:rPr>
              <w:t>5</w:t>
            </w:r>
            <w:r w:rsidR="00C87CBD">
              <w:rPr>
                <w:rFonts w:asciiTheme="minorHAnsi" w:hAnsiTheme="minorHAnsi" w:cs="Calibri"/>
              </w:rPr>
              <w:t>.0</w:t>
            </w:r>
          </w:p>
        </w:tc>
      </w:tr>
      <w:tr w:rsidR="00A247E8" w:rsidRPr="00F272B8" w:rsidTr="00411B80">
        <w:trPr>
          <w:trHeight w:val="587"/>
        </w:trPr>
        <w:tc>
          <w:tcPr>
            <w:tcW w:w="1305" w:type="dxa"/>
          </w:tcPr>
          <w:p w:rsidR="00A247E8" w:rsidRPr="00885B01" w:rsidRDefault="00A247E8" w:rsidP="007133CF">
            <w:pPr>
              <w:jc w:val="center"/>
              <w:rPr>
                <w:rFonts w:asciiTheme="minorHAnsi" w:hAnsiTheme="minorHAnsi" w:cs="Calibri"/>
              </w:rPr>
            </w:pPr>
            <w:r w:rsidRPr="00885B01">
              <w:rPr>
                <w:rFonts w:asciiTheme="minorHAnsi" w:hAnsiTheme="minorHAnsi" w:cs="Calibri"/>
              </w:rPr>
              <w:t>2</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3A/B</w:t>
            </w:r>
          </w:p>
        </w:tc>
        <w:tc>
          <w:tcPr>
            <w:tcW w:w="5247" w:type="dxa"/>
            <w:vAlign w:val="bottom"/>
          </w:tcPr>
          <w:p w:rsidR="00A247E8" w:rsidRPr="00885B01" w:rsidRDefault="00A247E8">
            <w:pPr>
              <w:rPr>
                <w:rFonts w:asciiTheme="minorHAnsi" w:hAnsiTheme="minorHAnsi"/>
                <w:sz w:val="24"/>
                <w:szCs w:val="24"/>
              </w:rPr>
            </w:pPr>
            <w:r w:rsidRPr="00885B01">
              <w:rPr>
                <w:rFonts w:asciiTheme="minorHAnsi" w:hAnsiTheme="minorHAnsi"/>
              </w:rPr>
              <w:t>Kodiak College Maritime Industries Coordinator</w:t>
            </w:r>
          </w:p>
        </w:tc>
        <w:tc>
          <w:tcPr>
            <w:tcW w:w="1187" w:type="dxa"/>
            <w:vAlign w:val="bottom"/>
          </w:tcPr>
          <w:p w:rsidR="00A247E8" w:rsidRPr="00885B01" w:rsidRDefault="00A247E8" w:rsidP="004D4E46">
            <w:pPr>
              <w:rPr>
                <w:rFonts w:asciiTheme="minorHAnsi" w:hAnsiTheme="minorHAnsi"/>
                <w:sz w:val="24"/>
                <w:szCs w:val="24"/>
              </w:rPr>
            </w:pPr>
            <w:r w:rsidRPr="00885B01">
              <w:rPr>
                <w:rFonts w:asciiTheme="minorHAnsi" w:hAnsiTheme="minorHAnsi"/>
              </w:rPr>
              <w:t xml:space="preserve">         103.0 </w:t>
            </w:r>
          </w:p>
        </w:tc>
        <w:tc>
          <w:tcPr>
            <w:tcW w:w="1153" w:type="dxa"/>
            <w:vAlign w:val="bottom"/>
          </w:tcPr>
          <w:p w:rsidR="00A247E8" w:rsidRPr="00885B01" w:rsidRDefault="00D46919" w:rsidP="00411B80">
            <w:pPr>
              <w:jc w:val="right"/>
              <w:rPr>
                <w:rFonts w:asciiTheme="minorHAnsi" w:hAnsiTheme="minorHAnsi" w:cs="Calibri"/>
              </w:rPr>
            </w:pPr>
            <w:r>
              <w:rPr>
                <w:rFonts w:asciiTheme="minorHAnsi" w:hAnsiTheme="minorHAnsi" w:cs="Calibri"/>
              </w:rPr>
              <w:t>20</w:t>
            </w:r>
            <w:r w:rsidR="00ED56FD">
              <w:rPr>
                <w:rFonts w:asciiTheme="minorHAnsi" w:hAnsiTheme="minorHAnsi" w:cs="Calibri"/>
              </w:rPr>
              <w:t>.0</w:t>
            </w:r>
          </w:p>
        </w:tc>
      </w:tr>
      <w:tr w:rsidR="004E43AD" w:rsidRPr="00F272B8" w:rsidTr="00411B80">
        <w:trPr>
          <w:trHeight w:val="287"/>
        </w:trPr>
        <w:tc>
          <w:tcPr>
            <w:tcW w:w="8298" w:type="dxa"/>
            <w:gridSpan w:val="3"/>
          </w:tcPr>
          <w:p w:rsidR="004E43AD" w:rsidRPr="00885B01" w:rsidRDefault="004E43AD" w:rsidP="004E43AD">
            <w:pPr>
              <w:jc w:val="right"/>
              <w:rPr>
                <w:rFonts w:asciiTheme="minorHAnsi" w:hAnsiTheme="minorHAnsi" w:cstheme="minorHAnsi"/>
                <w:noProof/>
              </w:rPr>
            </w:pPr>
            <w:r w:rsidRPr="00885B01">
              <w:rPr>
                <w:rFonts w:asciiTheme="minorHAnsi" w:hAnsiTheme="minorHAnsi" w:cstheme="minorHAnsi"/>
                <w:b/>
                <w:noProof/>
              </w:rPr>
              <w:t>Total Workforce Requests</w:t>
            </w:r>
          </w:p>
        </w:tc>
        <w:tc>
          <w:tcPr>
            <w:tcW w:w="1187" w:type="dxa"/>
          </w:tcPr>
          <w:p w:rsidR="004E43AD" w:rsidRPr="00885B01" w:rsidRDefault="004D4E46" w:rsidP="007133CF">
            <w:pPr>
              <w:jc w:val="right"/>
              <w:rPr>
                <w:rFonts w:asciiTheme="minorHAnsi" w:hAnsiTheme="minorHAnsi" w:cs="Calibri"/>
                <w:b/>
                <w:bCs/>
              </w:rPr>
            </w:pPr>
            <w:r w:rsidRPr="00885B01">
              <w:rPr>
                <w:rFonts w:asciiTheme="minorHAnsi" w:hAnsiTheme="minorHAnsi" w:cs="Calibri"/>
                <w:b/>
                <w:bCs/>
              </w:rPr>
              <w:t>218.0</w:t>
            </w:r>
          </w:p>
        </w:tc>
        <w:tc>
          <w:tcPr>
            <w:tcW w:w="1153" w:type="dxa"/>
            <w:vAlign w:val="bottom"/>
          </w:tcPr>
          <w:p w:rsidR="004E43AD" w:rsidRPr="00885B01" w:rsidRDefault="00D46919" w:rsidP="00411B80">
            <w:pPr>
              <w:jc w:val="right"/>
              <w:rPr>
                <w:rFonts w:asciiTheme="minorHAnsi" w:hAnsiTheme="minorHAnsi" w:cs="Calibri"/>
                <w:b/>
                <w:bCs/>
              </w:rPr>
            </w:pPr>
            <w:r>
              <w:rPr>
                <w:rFonts w:asciiTheme="minorHAnsi" w:hAnsiTheme="minorHAnsi" w:cs="Calibri"/>
                <w:b/>
                <w:bCs/>
              </w:rPr>
              <w:t>45.0</w:t>
            </w:r>
          </w:p>
        </w:tc>
      </w:tr>
      <w:tr w:rsidR="00B761A4" w:rsidRPr="00F272B8" w:rsidTr="0074377E">
        <w:trPr>
          <w:trHeight w:val="710"/>
        </w:trPr>
        <w:tc>
          <w:tcPr>
            <w:tcW w:w="10638" w:type="dxa"/>
            <w:gridSpan w:val="5"/>
            <w:vAlign w:val="center"/>
          </w:tcPr>
          <w:p w:rsidR="00B761A4" w:rsidRPr="00885B01" w:rsidRDefault="00B761A4" w:rsidP="00340055">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t>PROGRAM INCREMENTS-</w:t>
            </w:r>
            <w:r w:rsidR="00340055">
              <w:rPr>
                <w:rFonts w:asciiTheme="minorHAnsi" w:hAnsiTheme="minorHAnsi" w:cstheme="minorHAnsi"/>
                <w:b/>
                <w:noProof/>
                <w:sz w:val="28"/>
                <w:szCs w:val="28"/>
              </w:rPr>
              <w:t xml:space="preserve">Student Achievement </w:t>
            </w:r>
            <w:r w:rsidRPr="00885B01">
              <w:rPr>
                <w:rFonts w:asciiTheme="minorHAnsi" w:hAnsiTheme="minorHAnsi" w:cstheme="minorHAnsi"/>
                <w:b/>
                <w:noProof/>
                <w:sz w:val="28"/>
                <w:szCs w:val="28"/>
              </w:rPr>
              <w:t xml:space="preserve"> </w:t>
            </w:r>
          </w:p>
        </w:tc>
      </w:tr>
      <w:tr w:rsidR="00A247E8" w:rsidRPr="00F272B8" w:rsidTr="00411B80">
        <w:trPr>
          <w:trHeight w:val="587"/>
        </w:trPr>
        <w:tc>
          <w:tcPr>
            <w:tcW w:w="1305" w:type="dxa"/>
          </w:tcPr>
          <w:p w:rsidR="00A247E8" w:rsidRPr="00885B01" w:rsidRDefault="00A247E8" w:rsidP="007133CF">
            <w:pPr>
              <w:jc w:val="center"/>
              <w:rPr>
                <w:rFonts w:asciiTheme="minorHAnsi" w:hAnsiTheme="minorHAnsi" w:cs="Calibri"/>
              </w:rPr>
            </w:pPr>
            <w:r w:rsidRPr="00885B01">
              <w:rPr>
                <w:rFonts w:asciiTheme="minorHAnsi" w:hAnsiTheme="minorHAnsi" w:cs="Calibri"/>
              </w:rPr>
              <w:t>1</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1A/B/E</w:t>
            </w:r>
          </w:p>
        </w:tc>
        <w:tc>
          <w:tcPr>
            <w:tcW w:w="5247" w:type="dxa"/>
            <w:vAlign w:val="bottom"/>
          </w:tcPr>
          <w:p w:rsidR="00A247E8" w:rsidRPr="00885B01" w:rsidRDefault="00A247E8">
            <w:pPr>
              <w:rPr>
                <w:rFonts w:asciiTheme="minorHAnsi" w:hAnsiTheme="minorHAnsi"/>
                <w:color w:val="000000"/>
                <w:sz w:val="24"/>
                <w:szCs w:val="24"/>
              </w:rPr>
            </w:pPr>
            <w:r w:rsidRPr="00885B01">
              <w:rPr>
                <w:rFonts w:asciiTheme="minorHAnsi" w:hAnsiTheme="minorHAnsi"/>
                <w:color w:val="000000"/>
              </w:rPr>
              <w:t xml:space="preserve">Rural Student Transition Specialist (RSTS) </w:t>
            </w:r>
          </w:p>
        </w:tc>
        <w:tc>
          <w:tcPr>
            <w:tcW w:w="1187" w:type="dxa"/>
            <w:vAlign w:val="bottom"/>
          </w:tcPr>
          <w:p w:rsidR="00A247E8" w:rsidRPr="00885B01" w:rsidRDefault="00A247E8">
            <w:pPr>
              <w:rPr>
                <w:rFonts w:asciiTheme="minorHAnsi" w:hAnsiTheme="minorHAnsi"/>
                <w:iCs/>
                <w:sz w:val="24"/>
                <w:szCs w:val="24"/>
              </w:rPr>
            </w:pPr>
            <w:r w:rsidRPr="00885B01">
              <w:rPr>
                <w:rFonts w:asciiTheme="minorHAnsi" w:hAnsiTheme="minorHAnsi"/>
                <w:iCs/>
              </w:rPr>
              <w:t xml:space="preserve">           73.0 </w:t>
            </w:r>
          </w:p>
        </w:tc>
        <w:tc>
          <w:tcPr>
            <w:tcW w:w="1153" w:type="dxa"/>
            <w:vAlign w:val="bottom"/>
          </w:tcPr>
          <w:p w:rsidR="00A247E8" w:rsidRPr="00885B01" w:rsidRDefault="00A247E8" w:rsidP="00411B80">
            <w:pPr>
              <w:jc w:val="right"/>
              <w:rPr>
                <w:rFonts w:asciiTheme="minorHAnsi" w:hAnsiTheme="minorHAnsi" w:cs="Calibri"/>
              </w:rPr>
            </w:pPr>
          </w:p>
        </w:tc>
      </w:tr>
      <w:tr w:rsidR="00A247E8" w:rsidRPr="00F272B8" w:rsidTr="00411B80">
        <w:trPr>
          <w:trHeight w:val="587"/>
        </w:trPr>
        <w:tc>
          <w:tcPr>
            <w:tcW w:w="1305" w:type="dxa"/>
          </w:tcPr>
          <w:p w:rsidR="00A247E8" w:rsidRPr="00885B01" w:rsidRDefault="00A247E8" w:rsidP="007133CF">
            <w:pPr>
              <w:jc w:val="center"/>
              <w:rPr>
                <w:rFonts w:asciiTheme="minorHAnsi" w:hAnsiTheme="minorHAnsi" w:cs="Calibri"/>
              </w:rPr>
            </w:pPr>
            <w:r w:rsidRPr="00885B01">
              <w:rPr>
                <w:rFonts w:asciiTheme="minorHAnsi" w:hAnsiTheme="minorHAnsi" w:cs="Calibri"/>
              </w:rPr>
              <w:t>2</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1A/B, 2C</w:t>
            </w:r>
          </w:p>
        </w:tc>
        <w:tc>
          <w:tcPr>
            <w:tcW w:w="5247" w:type="dxa"/>
            <w:vAlign w:val="bottom"/>
          </w:tcPr>
          <w:p w:rsidR="00A247E8" w:rsidRPr="00885B01" w:rsidRDefault="00A247E8">
            <w:pPr>
              <w:rPr>
                <w:rFonts w:asciiTheme="minorHAnsi" w:hAnsiTheme="minorHAnsi"/>
                <w:sz w:val="24"/>
                <w:szCs w:val="24"/>
              </w:rPr>
            </w:pPr>
            <w:r w:rsidRPr="00885B01">
              <w:rPr>
                <w:rFonts w:asciiTheme="minorHAnsi" w:hAnsiTheme="minorHAnsi"/>
              </w:rPr>
              <w:t>KPC Kachemak Bay Campus Student Success Advisor</w:t>
            </w:r>
          </w:p>
        </w:tc>
        <w:tc>
          <w:tcPr>
            <w:tcW w:w="1187" w:type="dxa"/>
            <w:vAlign w:val="bottom"/>
          </w:tcPr>
          <w:p w:rsidR="00A247E8" w:rsidRPr="00885B01" w:rsidRDefault="00A247E8" w:rsidP="00E56A45">
            <w:pPr>
              <w:rPr>
                <w:rFonts w:asciiTheme="minorHAnsi" w:hAnsiTheme="minorHAnsi"/>
                <w:iCs/>
                <w:sz w:val="24"/>
                <w:szCs w:val="24"/>
              </w:rPr>
            </w:pPr>
            <w:r w:rsidRPr="00885B01">
              <w:rPr>
                <w:rFonts w:asciiTheme="minorHAnsi" w:hAnsiTheme="minorHAnsi"/>
                <w:iCs/>
              </w:rPr>
              <w:t xml:space="preserve">           72.0 </w:t>
            </w:r>
          </w:p>
        </w:tc>
        <w:tc>
          <w:tcPr>
            <w:tcW w:w="1153" w:type="dxa"/>
            <w:vAlign w:val="bottom"/>
          </w:tcPr>
          <w:p w:rsidR="00A247E8" w:rsidRPr="00885B01" w:rsidRDefault="00A247E8" w:rsidP="00411B80">
            <w:pPr>
              <w:jc w:val="right"/>
              <w:rPr>
                <w:rFonts w:asciiTheme="minorHAnsi" w:hAnsiTheme="minorHAnsi" w:cs="Calibri"/>
              </w:rPr>
            </w:pPr>
          </w:p>
        </w:tc>
      </w:tr>
      <w:tr w:rsidR="00A247E8" w:rsidRPr="00F272B8" w:rsidTr="00411B80">
        <w:trPr>
          <w:trHeight w:val="587"/>
        </w:trPr>
        <w:tc>
          <w:tcPr>
            <w:tcW w:w="1305" w:type="dxa"/>
          </w:tcPr>
          <w:p w:rsidR="00A247E8" w:rsidRPr="00885B01" w:rsidRDefault="00A247E8" w:rsidP="007133CF">
            <w:pPr>
              <w:jc w:val="center"/>
              <w:rPr>
                <w:rFonts w:asciiTheme="minorHAnsi" w:hAnsiTheme="minorHAnsi" w:cs="Calibri"/>
              </w:rPr>
            </w:pPr>
            <w:r w:rsidRPr="00885B01">
              <w:rPr>
                <w:rFonts w:asciiTheme="minorHAnsi" w:hAnsiTheme="minorHAnsi" w:cs="Calibri"/>
              </w:rPr>
              <w:t>3</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1A, 5D</w:t>
            </w:r>
          </w:p>
        </w:tc>
        <w:tc>
          <w:tcPr>
            <w:tcW w:w="5247" w:type="dxa"/>
            <w:vAlign w:val="center"/>
          </w:tcPr>
          <w:p w:rsidR="00A247E8" w:rsidRPr="00885B01" w:rsidRDefault="00A247E8">
            <w:pPr>
              <w:rPr>
                <w:rFonts w:asciiTheme="minorHAnsi" w:hAnsiTheme="minorHAnsi"/>
                <w:sz w:val="24"/>
                <w:szCs w:val="24"/>
              </w:rPr>
            </w:pPr>
            <w:r w:rsidRPr="00885B01">
              <w:rPr>
                <w:rFonts w:asciiTheme="minorHAnsi" w:hAnsiTheme="minorHAnsi"/>
              </w:rPr>
              <w:t>Financial Literacy Outreach Specialist</w:t>
            </w:r>
          </w:p>
        </w:tc>
        <w:tc>
          <w:tcPr>
            <w:tcW w:w="1187" w:type="dxa"/>
            <w:vAlign w:val="bottom"/>
          </w:tcPr>
          <w:p w:rsidR="00A247E8" w:rsidRPr="00885B01" w:rsidRDefault="00A247E8" w:rsidP="00E56A45">
            <w:pPr>
              <w:rPr>
                <w:rFonts w:asciiTheme="minorHAnsi" w:hAnsiTheme="minorHAnsi"/>
                <w:iCs/>
                <w:sz w:val="24"/>
                <w:szCs w:val="24"/>
              </w:rPr>
            </w:pPr>
            <w:r w:rsidRPr="00885B01">
              <w:rPr>
                <w:rFonts w:asciiTheme="minorHAnsi" w:hAnsiTheme="minorHAnsi"/>
                <w:iCs/>
              </w:rPr>
              <w:t xml:space="preserve">           81.5 </w:t>
            </w:r>
          </w:p>
        </w:tc>
        <w:tc>
          <w:tcPr>
            <w:tcW w:w="1153" w:type="dxa"/>
            <w:vAlign w:val="bottom"/>
          </w:tcPr>
          <w:p w:rsidR="00A247E8" w:rsidRPr="00885B01" w:rsidRDefault="00A247E8" w:rsidP="00411B80">
            <w:pPr>
              <w:jc w:val="right"/>
              <w:rPr>
                <w:rFonts w:asciiTheme="minorHAnsi" w:hAnsiTheme="minorHAnsi" w:cs="Calibri"/>
              </w:rPr>
            </w:pPr>
          </w:p>
        </w:tc>
      </w:tr>
      <w:tr w:rsidR="00A247E8" w:rsidRPr="00F272B8" w:rsidTr="00411B80">
        <w:trPr>
          <w:trHeight w:val="587"/>
        </w:trPr>
        <w:tc>
          <w:tcPr>
            <w:tcW w:w="1305" w:type="dxa"/>
          </w:tcPr>
          <w:p w:rsidR="00A247E8" w:rsidRPr="00885B01" w:rsidRDefault="00A247E8" w:rsidP="007133CF">
            <w:pPr>
              <w:jc w:val="center"/>
              <w:rPr>
                <w:rFonts w:asciiTheme="minorHAnsi" w:hAnsiTheme="minorHAnsi" w:cs="Calibri"/>
              </w:rPr>
            </w:pPr>
            <w:r w:rsidRPr="00885B01">
              <w:rPr>
                <w:rFonts w:asciiTheme="minorHAnsi" w:hAnsiTheme="minorHAnsi" w:cs="Calibri"/>
              </w:rPr>
              <w:t>4</w:t>
            </w:r>
          </w:p>
        </w:tc>
        <w:tc>
          <w:tcPr>
            <w:tcW w:w="1746" w:type="dxa"/>
            <w:vAlign w:val="bottom"/>
          </w:tcPr>
          <w:p w:rsidR="00A247E8" w:rsidRPr="00885B01" w:rsidRDefault="00A247E8">
            <w:pPr>
              <w:jc w:val="center"/>
              <w:rPr>
                <w:rFonts w:asciiTheme="minorHAnsi" w:hAnsiTheme="minorHAnsi"/>
                <w:color w:val="000000"/>
                <w:sz w:val="24"/>
                <w:szCs w:val="24"/>
              </w:rPr>
            </w:pPr>
            <w:r w:rsidRPr="00885B01">
              <w:rPr>
                <w:rFonts w:asciiTheme="minorHAnsi" w:hAnsiTheme="minorHAnsi"/>
                <w:color w:val="000000"/>
              </w:rPr>
              <w:t>1A/B</w:t>
            </w:r>
          </w:p>
        </w:tc>
        <w:tc>
          <w:tcPr>
            <w:tcW w:w="5247" w:type="dxa"/>
            <w:vAlign w:val="center"/>
          </w:tcPr>
          <w:p w:rsidR="00A247E8" w:rsidRPr="00885B01" w:rsidRDefault="00A247E8">
            <w:pPr>
              <w:rPr>
                <w:rFonts w:asciiTheme="minorHAnsi" w:hAnsiTheme="minorHAnsi"/>
                <w:sz w:val="24"/>
                <w:szCs w:val="24"/>
              </w:rPr>
            </w:pPr>
            <w:r w:rsidRPr="00885B01">
              <w:rPr>
                <w:rFonts w:asciiTheme="minorHAnsi" w:hAnsiTheme="minorHAnsi"/>
              </w:rPr>
              <w:t>Real-time Communication Access for Students with Disabilities</w:t>
            </w:r>
          </w:p>
        </w:tc>
        <w:tc>
          <w:tcPr>
            <w:tcW w:w="1187" w:type="dxa"/>
            <w:vAlign w:val="bottom"/>
          </w:tcPr>
          <w:p w:rsidR="00A247E8" w:rsidRPr="00885B01" w:rsidRDefault="00A247E8" w:rsidP="00E56A45">
            <w:pPr>
              <w:jc w:val="center"/>
              <w:rPr>
                <w:rFonts w:asciiTheme="minorHAnsi" w:hAnsiTheme="minorHAnsi"/>
                <w:iCs/>
                <w:sz w:val="24"/>
                <w:szCs w:val="24"/>
              </w:rPr>
            </w:pPr>
            <w:r w:rsidRPr="00885B01">
              <w:rPr>
                <w:rFonts w:asciiTheme="minorHAnsi" w:hAnsiTheme="minorHAnsi"/>
                <w:iCs/>
              </w:rPr>
              <w:t xml:space="preserve">           90.0 </w:t>
            </w:r>
          </w:p>
        </w:tc>
        <w:tc>
          <w:tcPr>
            <w:tcW w:w="1153" w:type="dxa"/>
            <w:vAlign w:val="bottom"/>
          </w:tcPr>
          <w:p w:rsidR="00A247E8" w:rsidRPr="00885B01" w:rsidRDefault="00A247E8" w:rsidP="00411B80">
            <w:pPr>
              <w:jc w:val="right"/>
              <w:rPr>
                <w:rFonts w:asciiTheme="minorHAnsi" w:hAnsiTheme="minorHAnsi" w:cs="Calibri"/>
              </w:rPr>
            </w:pPr>
          </w:p>
        </w:tc>
      </w:tr>
      <w:tr w:rsidR="00B761A4" w:rsidRPr="00F272B8" w:rsidTr="00411B80">
        <w:trPr>
          <w:trHeight w:val="287"/>
        </w:trPr>
        <w:tc>
          <w:tcPr>
            <w:tcW w:w="8298" w:type="dxa"/>
            <w:gridSpan w:val="3"/>
          </w:tcPr>
          <w:p w:rsidR="00B761A4" w:rsidRPr="00885B01" w:rsidRDefault="00B761A4" w:rsidP="00E56A45">
            <w:pPr>
              <w:jc w:val="right"/>
              <w:rPr>
                <w:rFonts w:asciiTheme="minorHAnsi" w:hAnsiTheme="minorHAnsi" w:cstheme="minorHAnsi"/>
                <w:noProof/>
              </w:rPr>
            </w:pPr>
            <w:r w:rsidRPr="00885B01">
              <w:rPr>
                <w:rFonts w:asciiTheme="minorHAnsi" w:hAnsiTheme="minorHAnsi" w:cstheme="minorHAnsi"/>
                <w:b/>
                <w:noProof/>
              </w:rPr>
              <w:t xml:space="preserve">Total </w:t>
            </w:r>
            <w:r w:rsidR="00E56A45" w:rsidRPr="00885B01">
              <w:rPr>
                <w:rFonts w:asciiTheme="minorHAnsi" w:hAnsiTheme="minorHAnsi" w:cstheme="minorHAnsi"/>
                <w:b/>
                <w:noProof/>
              </w:rPr>
              <w:t>Outreach</w:t>
            </w:r>
            <w:r w:rsidRPr="00885B01">
              <w:rPr>
                <w:rFonts w:asciiTheme="minorHAnsi" w:hAnsiTheme="minorHAnsi" w:cstheme="minorHAnsi"/>
                <w:b/>
                <w:noProof/>
              </w:rPr>
              <w:t xml:space="preserve"> Requests</w:t>
            </w:r>
          </w:p>
        </w:tc>
        <w:tc>
          <w:tcPr>
            <w:tcW w:w="1187" w:type="dxa"/>
          </w:tcPr>
          <w:p w:rsidR="00B761A4" w:rsidRPr="00885B01" w:rsidRDefault="00E56A45" w:rsidP="007133CF">
            <w:pPr>
              <w:jc w:val="right"/>
              <w:rPr>
                <w:rFonts w:asciiTheme="minorHAnsi" w:hAnsiTheme="minorHAnsi" w:cs="Calibri"/>
                <w:b/>
                <w:bCs/>
              </w:rPr>
            </w:pPr>
            <w:r w:rsidRPr="00885B01">
              <w:rPr>
                <w:rFonts w:asciiTheme="minorHAnsi" w:hAnsiTheme="minorHAnsi" w:cs="Calibri"/>
                <w:b/>
                <w:bCs/>
              </w:rPr>
              <w:t>316.5</w:t>
            </w:r>
          </w:p>
        </w:tc>
        <w:tc>
          <w:tcPr>
            <w:tcW w:w="1153" w:type="dxa"/>
            <w:vAlign w:val="bottom"/>
          </w:tcPr>
          <w:p w:rsidR="00B761A4" w:rsidRPr="00885B01" w:rsidRDefault="00B761A4" w:rsidP="00411B80">
            <w:pPr>
              <w:jc w:val="right"/>
              <w:rPr>
                <w:rFonts w:asciiTheme="minorHAnsi" w:hAnsiTheme="minorHAnsi" w:cs="Calibri"/>
                <w:b/>
                <w:bCs/>
              </w:rPr>
            </w:pPr>
          </w:p>
        </w:tc>
      </w:tr>
      <w:tr w:rsidR="00D147C2" w:rsidRPr="00F272B8" w:rsidTr="00D147C2">
        <w:trPr>
          <w:trHeight w:val="584"/>
        </w:trPr>
        <w:tc>
          <w:tcPr>
            <w:tcW w:w="10638" w:type="dxa"/>
            <w:gridSpan w:val="5"/>
            <w:vAlign w:val="center"/>
          </w:tcPr>
          <w:p w:rsidR="00D147C2" w:rsidRPr="00885B01" w:rsidRDefault="00D147C2" w:rsidP="00D147C2">
            <w:pPr>
              <w:jc w:val="center"/>
              <w:rPr>
                <w:rFonts w:asciiTheme="minorHAnsi" w:hAnsiTheme="minorHAnsi" w:cstheme="minorHAnsi"/>
                <w:b/>
                <w:noProof/>
                <w:sz w:val="28"/>
                <w:szCs w:val="28"/>
              </w:rPr>
            </w:pPr>
            <w:r w:rsidRPr="00885B01">
              <w:rPr>
                <w:rFonts w:asciiTheme="minorHAnsi" w:hAnsiTheme="minorHAnsi" w:cstheme="minorHAnsi"/>
                <w:b/>
                <w:noProof/>
                <w:sz w:val="28"/>
                <w:szCs w:val="28"/>
              </w:rPr>
              <w:lastRenderedPageBreak/>
              <w:t xml:space="preserve">PROGRAM INCREMENTS-Research to Enhance Alaska Communties </w:t>
            </w:r>
          </w:p>
        </w:tc>
      </w:tr>
      <w:tr w:rsidR="008C2A6C" w:rsidRPr="00F272B8" w:rsidTr="00411B80">
        <w:trPr>
          <w:trHeight w:val="587"/>
        </w:trPr>
        <w:tc>
          <w:tcPr>
            <w:tcW w:w="1305" w:type="dxa"/>
          </w:tcPr>
          <w:p w:rsidR="008C2A6C" w:rsidRPr="00885B01" w:rsidRDefault="008C2A6C" w:rsidP="007133CF">
            <w:pPr>
              <w:jc w:val="center"/>
              <w:rPr>
                <w:rFonts w:asciiTheme="minorHAnsi" w:hAnsiTheme="minorHAnsi" w:cs="Calibri"/>
              </w:rPr>
            </w:pPr>
            <w:r w:rsidRPr="00885B01">
              <w:rPr>
                <w:rFonts w:asciiTheme="minorHAnsi" w:hAnsiTheme="minorHAnsi" w:cs="Calibri"/>
              </w:rPr>
              <w:t>1</w:t>
            </w:r>
          </w:p>
        </w:tc>
        <w:tc>
          <w:tcPr>
            <w:tcW w:w="1746" w:type="dxa"/>
            <w:vAlign w:val="bottom"/>
          </w:tcPr>
          <w:p w:rsidR="008C2A6C" w:rsidRPr="00885B01" w:rsidRDefault="008C2A6C">
            <w:pPr>
              <w:jc w:val="center"/>
              <w:rPr>
                <w:rFonts w:asciiTheme="minorHAnsi" w:hAnsiTheme="minorHAnsi"/>
                <w:color w:val="000000"/>
                <w:sz w:val="24"/>
                <w:szCs w:val="24"/>
              </w:rPr>
            </w:pPr>
            <w:r w:rsidRPr="00885B01">
              <w:rPr>
                <w:rFonts w:asciiTheme="minorHAnsi" w:hAnsiTheme="minorHAnsi"/>
                <w:color w:val="000000"/>
              </w:rPr>
              <w:t>3A/C, 4A/C/D/E</w:t>
            </w:r>
          </w:p>
        </w:tc>
        <w:tc>
          <w:tcPr>
            <w:tcW w:w="5247" w:type="dxa"/>
            <w:vAlign w:val="bottom"/>
          </w:tcPr>
          <w:p w:rsidR="008C2A6C" w:rsidRPr="00885B01" w:rsidRDefault="008C2A6C">
            <w:pPr>
              <w:jc w:val="center"/>
              <w:rPr>
                <w:rFonts w:asciiTheme="minorHAnsi" w:hAnsiTheme="minorHAnsi"/>
                <w:sz w:val="24"/>
                <w:szCs w:val="24"/>
              </w:rPr>
            </w:pPr>
            <w:r w:rsidRPr="00885B01">
              <w:rPr>
                <w:rFonts w:asciiTheme="minorHAnsi" w:hAnsiTheme="minorHAnsi"/>
              </w:rPr>
              <w:t>Innovation and Commercialization Prototype Development</w:t>
            </w:r>
          </w:p>
        </w:tc>
        <w:tc>
          <w:tcPr>
            <w:tcW w:w="1187" w:type="dxa"/>
            <w:vAlign w:val="bottom"/>
          </w:tcPr>
          <w:p w:rsidR="008C2A6C" w:rsidRPr="00885B01" w:rsidRDefault="008C2A6C">
            <w:pPr>
              <w:jc w:val="center"/>
              <w:rPr>
                <w:rFonts w:asciiTheme="minorHAnsi" w:hAnsiTheme="minorHAnsi"/>
                <w:iCs/>
                <w:sz w:val="24"/>
                <w:szCs w:val="24"/>
              </w:rPr>
            </w:pPr>
            <w:r w:rsidRPr="00885B01">
              <w:rPr>
                <w:rFonts w:asciiTheme="minorHAnsi" w:hAnsiTheme="minorHAnsi"/>
                <w:iCs/>
              </w:rPr>
              <w:t xml:space="preserve">         100.0 </w:t>
            </w:r>
          </w:p>
        </w:tc>
        <w:tc>
          <w:tcPr>
            <w:tcW w:w="1153" w:type="dxa"/>
            <w:vAlign w:val="bottom"/>
          </w:tcPr>
          <w:p w:rsidR="008C2A6C" w:rsidRPr="00885B01" w:rsidRDefault="008C2A6C" w:rsidP="00411B80">
            <w:pPr>
              <w:jc w:val="right"/>
              <w:rPr>
                <w:rFonts w:asciiTheme="minorHAnsi" w:hAnsiTheme="minorHAnsi" w:cs="Calibri"/>
              </w:rPr>
            </w:pPr>
          </w:p>
        </w:tc>
      </w:tr>
      <w:tr w:rsidR="008C2A6C" w:rsidRPr="00F272B8" w:rsidTr="00411B80">
        <w:trPr>
          <w:trHeight w:val="587"/>
        </w:trPr>
        <w:tc>
          <w:tcPr>
            <w:tcW w:w="1305" w:type="dxa"/>
          </w:tcPr>
          <w:p w:rsidR="008C2A6C" w:rsidRPr="00885B01" w:rsidRDefault="008C2A6C" w:rsidP="007133CF">
            <w:pPr>
              <w:jc w:val="center"/>
              <w:rPr>
                <w:rFonts w:asciiTheme="minorHAnsi" w:hAnsiTheme="minorHAnsi" w:cs="Calibri"/>
              </w:rPr>
            </w:pPr>
            <w:r w:rsidRPr="00885B01">
              <w:rPr>
                <w:rFonts w:asciiTheme="minorHAnsi" w:hAnsiTheme="minorHAnsi" w:cs="Calibri"/>
              </w:rPr>
              <w:t>2</w:t>
            </w:r>
          </w:p>
        </w:tc>
        <w:tc>
          <w:tcPr>
            <w:tcW w:w="1746" w:type="dxa"/>
            <w:vAlign w:val="bottom"/>
          </w:tcPr>
          <w:p w:rsidR="008C2A6C" w:rsidRPr="00885B01" w:rsidRDefault="008C2A6C">
            <w:pPr>
              <w:jc w:val="center"/>
              <w:rPr>
                <w:rFonts w:asciiTheme="minorHAnsi" w:hAnsiTheme="minorHAnsi"/>
                <w:sz w:val="24"/>
                <w:szCs w:val="24"/>
              </w:rPr>
            </w:pPr>
            <w:r w:rsidRPr="00885B01">
              <w:rPr>
                <w:rFonts w:asciiTheme="minorHAnsi" w:hAnsiTheme="minorHAnsi"/>
              </w:rPr>
              <w:t>1D/E/F, 4A/B/E</w:t>
            </w:r>
          </w:p>
        </w:tc>
        <w:tc>
          <w:tcPr>
            <w:tcW w:w="5247" w:type="dxa"/>
            <w:vAlign w:val="bottom"/>
          </w:tcPr>
          <w:p w:rsidR="008C2A6C" w:rsidRPr="00885B01" w:rsidRDefault="008C2A6C">
            <w:pPr>
              <w:jc w:val="center"/>
              <w:rPr>
                <w:rFonts w:asciiTheme="minorHAnsi" w:hAnsiTheme="minorHAnsi"/>
                <w:sz w:val="24"/>
                <w:szCs w:val="24"/>
              </w:rPr>
            </w:pPr>
            <w:r w:rsidRPr="00885B01">
              <w:rPr>
                <w:rFonts w:asciiTheme="minorHAnsi" w:hAnsiTheme="minorHAnsi"/>
              </w:rPr>
              <w:t>Center for Rese</w:t>
            </w:r>
            <w:r w:rsidR="00081A19">
              <w:rPr>
                <w:rFonts w:asciiTheme="minorHAnsi" w:hAnsiTheme="minorHAnsi"/>
              </w:rPr>
              <w:t>arch and Alaska Native Education</w:t>
            </w:r>
            <w:r w:rsidRPr="00885B01">
              <w:rPr>
                <w:rFonts w:asciiTheme="minorHAnsi" w:hAnsiTheme="minorHAnsi"/>
              </w:rPr>
              <w:t xml:space="preserve"> (CRANE)</w:t>
            </w:r>
          </w:p>
        </w:tc>
        <w:tc>
          <w:tcPr>
            <w:tcW w:w="1187" w:type="dxa"/>
            <w:vAlign w:val="bottom"/>
          </w:tcPr>
          <w:p w:rsidR="008C2A6C" w:rsidRPr="00885B01" w:rsidRDefault="008C2A6C">
            <w:pPr>
              <w:jc w:val="center"/>
              <w:rPr>
                <w:rFonts w:asciiTheme="minorHAnsi" w:hAnsiTheme="minorHAnsi"/>
                <w:iCs/>
                <w:sz w:val="24"/>
                <w:szCs w:val="24"/>
              </w:rPr>
            </w:pPr>
            <w:r w:rsidRPr="00885B01">
              <w:rPr>
                <w:rFonts w:asciiTheme="minorHAnsi" w:hAnsiTheme="minorHAnsi"/>
                <w:iCs/>
              </w:rPr>
              <w:t xml:space="preserve">         100.0</w:t>
            </w:r>
          </w:p>
        </w:tc>
        <w:tc>
          <w:tcPr>
            <w:tcW w:w="1153" w:type="dxa"/>
            <w:vAlign w:val="bottom"/>
          </w:tcPr>
          <w:p w:rsidR="008C2A6C" w:rsidRPr="00885B01" w:rsidRDefault="008C2A6C" w:rsidP="00411B80">
            <w:pPr>
              <w:jc w:val="right"/>
              <w:rPr>
                <w:rFonts w:asciiTheme="minorHAnsi" w:hAnsiTheme="minorHAnsi" w:cs="Calibri"/>
              </w:rPr>
            </w:pPr>
          </w:p>
        </w:tc>
      </w:tr>
      <w:tr w:rsidR="00D147C2" w:rsidRPr="00F272B8" w:rsidTr="00411B80">
        <w:trPr>
          <w:trHeight w:val="287"/>
        </w:trPr>
        <w:tc>
          <w:tcPr>
            <w:tcW w:w="8298" w:type="dxa"/>
            <w:gridSpan w:val="3"/>
          </w:tcPr>
          <w:p w:rsidR="00D147C2" w:rsidRPr="00885B01" w:rsidRDefault="00D147C2" w:rsidP="00A247E8">
            <w:pPr>
              <w:jc w:val="right"/>
              <w:rPr>
                <w:rFonts w:asciiTheme="minorHAnsi" w:hAnsiTheme="minorHAnsi" w:cstheme="minorHAnsi"/>
                <w:noProof/>
              </w:rPr>
            </w:pPr>
            <w:r w:rsidRPr="00885B01">
              <w:rPr>
                <w:rFonts w:asciiTheme="minorHAnsi" w:hAnsiTheme="minorHAnsi" w:cstheme="minorHAnsi"/>
                <w:b/>
                <w:noProof/>
              </w:rPr>
              <w:t xml:space="preserve">Total </w:t>
            </w:r>
            <w:r w:rsidR="00A247E8" w:rsidRPr="00885B01">
              <w:rPr>
                <w:rFonts w:asciiTheme="minorHAnsi" w:hAnsiTheme="minorHAnsi" w:cstheme="minorHAnsi"/>
                <w:b/>
                <w:noProof/>
              </w:rPr>
              <w:t>Research</w:t>
            </w:r>
            <w:r w:rsidRPr="00885B01">
              <w:rPr>
                <w:rFonts w:asciiTheme="minorHAnsi" w:hAnsiTheme="minorHAnsi" w:cstheme="minorHAnsi"/>
                <w:b/>
                <w:noProof/>
              </w:rPr>
              <w:t xml:space="preserve"> Requests</w:t>
            </w:r>
          </w:p>
        </w:tc>
        <w:tc>
          <w:tcPr>
            <w:tcW w:w="1187" w:type="dxa"/>
          </w:tcPr>
          <w:p w:rsidR="00D147C2" w:rsidRPr="00885B01" w:rsidRDefault="00A247E8" w:rsidP="007133CF">
            <w:pPr>
              <w:jc w:val="right"/>
              <w:rPr>
                <w:rFonts w:asciiTheme="minorHAnsi" w:hAnsiTheme="minorHAnsi" w:cs="Calibri"/>
                <w:b/>
                <w:bCs/>
              </w:rPr>
            </w:pPr>
            <w:r w:rsidRPr="00885B01">
              <w:rPr>
                <w:rFonts w:asciiTheme="minorHAnsi" w:hAnsiTheme="minorHAnsi" w:cs="Calibri"/>
                <w:b/>
                <w:bCs/>
              </w:rPr>
              <w:t>200</w:t>
            </w:r>
            <w:r w:rsidR="00D147C2" w:rsidRPr="00885B01">
              <w:rPr>
                <w:rFonts w:asciiTheme="minorHAnsi" w:hAnsiTheme="minorHAnsi" w:cs="Calibri"/>
                <w:b/>
                <w:bCs/>
              </w:rPr>
              <w:t>.0</w:t>
            </w:r>
          </w:p>
        </w:tc>
        <w:tc>
          <w:tcPr>
            <w:tcW w:w="1153" w:type="dxa"/>
            <w:vAlign w:val="bottom"/>
          </w:tcPr>
          <w:p w:rsidR="00D147C2" w:rsidRPr="00885B01" w:rsidRDefault="00D147C2" w:rsidP="00411B80">
            <w:pPr>
              <w:jc w:val="right"/>
              <w:rPr>
                <w:rFonts w:asciiTheme="minorHAnsi" w:hAnsiTheme="minorHAnsi" w:cs="Calibri"/>
                <w:b/>
                <w:bCs/>
              </w:rPr>
            </w:pPr>
          </w:p>
        </w:tc>
      </w:tr>
      <w:tr w:rsidR="00B761A4" w:rsidRPr="00F272B8" w:rsidTr="00430B02">
        <w:trPr>
          <w:trHeight w:val="611"/>
        </w:trPr>
        <w:tc>
          <w:tcPr>
            <w:tcW w:w="10638" w:type="dxa"/>
            <w:gridSpan w:val="5"/>
            <w:vAlign w:val="center"/>
          </w:tcPr>
          <w:p w:rsidR="00B761A4" w:rsidRPr="00885B01" w:rsidRDefault="00B761A4" w:rsidP="007133CF">
            <w:pPr>
              <w:jc w:val="center"/>
              <w:rPr>
                <w:rFonts w:asciiTheme="minorHAnsi" w:hAnsiTheme="minorHAnsi" w:cstheme="minorHAnsi"/>
                <w:b/>
                <w:noProof/>
                <w:sz w:val="28"/>
              </w:rPr>
            </w:pPr>
          </w:p>
        </w:tc>
      </w:tr>
      <w:tr w:rsidR="00CF7951" w:rsidRPr="00F272B8" w:rsidTr="0074377E">
        <w:trPr>
          <w:trHeight w:val="593"/>
        </w:trPr>
        <w:tc>
          <w:tcPr>
            <w:tcW w:w="10638" w:type="dxa"/>
            <w:gridSpan w:val="5"/>
            <w:vAlign w:val="center"/>
          </w:tcPr>
          <w:p w:rsidR="00CF7951" w:rsidRPr="00885B01" w:rsidRDefault="00CF7951" w:rsidP="007133CF">
            <w:pPr>
              <w:jc w:val="center"/>
              <w:rPr>
                <w:rFonts w:asciiTheme="minorHAnsi" w:hAnsiTheme="minorHAnsi" w:cstheme="minorHAnsi"/>
                <w:b/>
                <w:noProof/>
                <w:sz w:val="28"/>
              </w:rPr>
            </w:pPr>
            <w:r w:rsidRPr="00885B01">
              <w:rPr>
                <w:rFonts w:asciiTheme="minorHAnsi" w:hAnsiTheme="minorHAnsi" w:cstheme="minorHAnsi"/>
                <w:b/>
                <w:noProof/>
                <w:sz w:val="28"/>
              </w:rPr>
              <w:t>FIXED COST INCREMENTS</w:t>
            </w:r>
          </w:p>
        </w:tc>
      </w:tr>
      <w:tr w:rsidR="00A73609" w:rsidRPr="00F272B8" w:rsidTr="00411B80">
        <w:trPr>
          <w:trHeight w:val="530"/>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1</w:t>
            </w:r>
          </w:p>
        </w:tc>
        <w:tc>
          <w:tcPr>
            <w:tcW w:w="1746" w:type="dxa"/>
          </w:tcPr>
          <w:p w:rsidR="00A73609" w:rsidRPr="00885B01" w:rsidRDefault="00A73609" w:rsidP="007133CF">
            <w:pPr>
              <w:rPr>
                <w:rFonts w:asciiTheme="minorHAnsi" w:hAnsiTheme="minorHAnsi" w:cstheme="minorHAnsi"/>
                <w:noProof/>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sz w:val="24"/>
                <w:szCs w:val="24"/>
              </w:rPr>
            </w:pPr>
            <w:r w:rsidRPr="00885B01">
              <w:rPr>
                <w:rFonts w:asciiTheme="minorHAnsi" w:hAnsiTheme="minorHAnsi"/>
              </w:rPr>
              <w:t>UAA Alaska Airline Center new facility operating costs</w:t>
            </w:r>
          </w:p>
        </w:tc>
        <w:tc>
          <w:tcPr>
            <w:tcW w:w="1187" w:type="dxa"/>
            <w:vAlign w:val="bottom"/>
          </w:tcPr>
          <w:p w:rsidR="00A73609" w:rsidRPr="00885B01" w:rsidRDefault="00A73609">
            <w:pPr>
              <w:rPr>
                <w:rFonts w:asciiTheme="minorHAnsi" w:hAnsiTheme="minorHAnsi"/>
                <w:iCs/>
                <w:sz w:val="24"/>
                <w:szCs w:val="24"/>
              </w:rPr>
            </w:pPr>
            <w:r w:rsidRPr="00885B01">
              <w:rPr>
                <w:rFonts w:asciiTheme="minorHAnsi" w:hAnsiTheme="minorHAnsi"/>
                <w:iCs/>
              </w:rPr>
              <w:t xml:space="preserve">      1,120.0 </w:t>
            </w:r>
          </w:p>
        </w:tc>
        <w:tc>
          <w:tcPr>
            <w:tcW w:w="1153" w:type="dxa"/>
            <w:vAlign w:val="bottom"/>
          </w:tcPr>
          <w:p w:rsidR="00A73609" w:rsidRPr="00885B01" w:rsidRDefault="00A73609" w:rsidP="00411B80">
            <w:pPr>
              <w:jc w:val="right"/>
              <w:rPr>
                <w:rFonts w:asciiTheme="minorHAnsi" w:hAnsiTheme="minorHAnsi" w:cstheme="minorHAnsi"/>
                <w:noProof/>
              </w:rPr>
            </w:pPr>
          </w:p>
        </w:tc>
      </w:tr>
      <w:tr w:rsidR="00A73609" w:rsidRPr="00F272B8" w:rsidTr="00411B80">
        <w:trPr>
          <w:trHeight w:val="301"/>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2</w:t>
            </w:r>
          </w:p>
        </w:tc>
        <w:tc>
          <w:tcPr>
            <w:tcW w:w="1746" w:type="dxa"/>
          </w:tcPr>
          <w:p w:rsidR="00A73609" w:rsidRPr="00885B01" w:rsidRDefault="00A73609">
            <w:pPr>
              <w:rPr>
                <w:rFonts w:asciiTheme="minorHAnsi" w:hAnsiTheme="minorHAnsi"/>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sz w:val="24"/>
                <w:szCs w:val="24"/>
              </w:rPr>
            </w:pPr>
            <w:r w:rsidRPr="00885B01">
              <w:rPr>
                <w:rFonts w:asciiTheme="minorHAnsi" w:hAnsiTheme="minorHAnsi"/>
              </w:rPr>
              <w:t xml:space="preserve">Engineering and Industry Building new facility operating costs </w:t>
            </w:r>
          </w:p>
        </w:tc>
        <w:tc>
          <w:tcPr>
            <w:tcW w:w="1187" w:type="dxa"/>
            <w:vAlign w:val="bottom"/>
          </w:tcPr>
          <w:p w:rsidR="00A73609" w:rsidRPr="00885B01" w:rsidRDefault="007F397D" w:rsidP="00A73609">
            <w:pPr>
              <w:jc w:val="right"/>
              <w:rPr>
                <w:rFonts w:asciiTheme="minorHAnsi" w:hAnsiTheme="minorHAnsi"/>
                <w:iCs/>
                <w:sz w:val="24"/>
                <w:szCs w:val="24"/>
              </w:rPr>
            </w:pPr>
            <w:r>
              <w:rPr>
                <w:rFonts w:asciiTheme="minorHAnsi" w:hAnsiTheme="minorHAnsi"/>
                <w:iCs/>
              </w:rPr>
              <w:t xml:space="preserve">      1,622.8</w:t>
            </w:r>
            <w:r w:rsidR="00A73609" w:rsidRPr="00885B01">
              <w:rPr>
                <w:rFonts w:asciiTheme="minorHAnsi" w:hAnsiTheme="minorHAnsi"/>
                <w:iCs/>
              </w:rPr>
              <w:t xml:space="preserve"> </w:t>
            </w:r>
          </w:p>
        </w:tc>
        <w:tc>
          <w:tcPr>
            <w:tcW w:w="1153" w:type="dxa"/>
            <w:vAlign w:val="bottom"/>
          </w:tcPr>
          <w:p w:rsidR="00A73609" w:rsidRPr="00885B01" w:rsidRDefault="00A73609" w:rsidP="00411B80">
            <w:pPr>
              <w:jc w:val="right"/>
              <w:rPr>
                <w:rFonts w:asciiTheme="minorHAnsi" w:hAnsiTheme="minorHAnsi" w:cstheme="minorHAnsi"/>
                <w:noProof/>
              </w:rPr>
            </w:pPr>
          </w:p>
        </w:tc>
      </w:tr>
      <w:tr w:rsidR="00A73609" w:rsidRPr="00F272B8" w:rsidTr="00411B80">
        <w:trPr>
          <w:trHeight w:val="593"/>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3</w:t>
            </w:r>
          </w:p>
        </w:tc>
        <w:tc>
          <w:tcPr>
            <w:tcW w:w="1746" w:type="dxa"/>
          </w:tcPr>
          <w:p w:rsidR="00A73609" w:rsidRPr="00885B01" w:rsidRDefault="00A73609">
            <w:pPr>
              <w:rPr>
                <w:rFonts w:asciiTheme="minorHAnsi" w:hAnsiTheme="minorHAnsi"/>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sz w:val="24"/>
                <w:szCs w:val="24"/>
              </w:rPr>
            </w:pPr>
            <w:r w:rsidRPr="00885B01">
              <w:rPr>
                <w:rFonts w:asciiTheme="minorHAnsi" w:hAnsiTheme="minorHAnsi"/>
              </w:rPr>
              <w:t>Engineering Building Parking Garage new facility operating costs</w:t>
            </w:r>
          </w:p>
        </w:tc>
        <w:tc>
          <w:tcPr>
            <w:tcW w:w="1187" w:type="dxa"/>
            <w:vAlign w:val="bottom"/>
          </w:tcPr>
          <w:p w:rsidR="00A73609" w:rsidRPr="00885B01" w:rsidRDefault="00A73609">
            <w:pPr>
              <w:rPr>
                <w:rFonts w:asciiTheme="minorHAnsi" w:hAnsiTheme="minorHAnsi"/>
                <w:iCs/>
                <w:sz w:val="24"/>
                <w:szCs w:val="24"/>
              </w:rPr>
            </w:pPr>
            <w:r w:rsidRPr="00885B01">
              <w:rPr>
                <w:rFonts w:asciiTheme="minorHAnsi" w:hAnsiTheme="minorHAnsi"/>
                <w:iCs/>
              </w:rPr>
              <w:t xml:space="preserve">         902.0 </w:t>
            </w:r>
          </w:p>
        </w:tc>
        <w:tc>
          <w:tcPr>
            <w:tcW w:w="1153" w:type="dxa"/>
            <w:vAlign w:val="bottom"/>
          </w:tcPr>
          <w:p w:rsidR="00A73609" w:rsidRPr="00885B01" w:rsidRDefault="00A73609" w:rsidP="00411B80">
            <w:pPr>
              <w:jc w:val="right"/>
              <w:rPr>
                <w:rFonts w:asciiTheme="minorHAnsi" w:hAnsiTheme="minorHAnsi" w:cstheme="minorHAnsi"/>
                <w:noProof/>
              </w:rPr>
            </w:pPr>
          </w:p>
        </w:tc>
      </w:tr>
      <w:tr w:rsidR="00A73609" w:rsidRPr="00F272B8" w:rsidTr="00411B80">
        <w:trPr>
          <w:trHeight w:val="301"/>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4</w:t>
            </w:r>
          </w:p>
        </w:tc>
        <w:tc>
          <w:tcPr>
            <w:tcW w:w="1746" w:type="dxa"/>
          </w:tcPr>
          <w:p w:rsidR="00A73609" w:rsidRPr="00885B01" w:rsidRDefault="00A73609">
            <w:pPr>
              <w:rPr>
                <w:rFonts w:asciiTheme="minorHAnsi" w:hAnsiTheme="minorHAnsi"/>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sz w:val="24"/>
                <w:szCs w:val="24"/>
              </w:rPr>
            </w:pPr>
            <w:r w:rsidRPr="00885B01">
              <w:rPr>
                <w:rFonts w:asciiTheme="minorHAnsi" w:hAnsiTheme="minorHAnsi"/>
              </w:rPr>
              <w:t>KPC Career Tech new facility operating costs</w:t>
            </w:r>
          </w:p>
        </w:tc>
        <w:tc>
          <w:tcPr>
            <w:tcW w:w="1187" w:type="dxa"/>
            <w:vAlign w:val="bottom"/>
          </w:tcPr>
          <w:p w:rsidR="00A73609" w:rsidRPr="00885B01" w:rsidRDefault="00A73609">
            <w:pPr>
              <w:rPr>
                <w:rFonts w:asciiTheme="minorHAnsi" w:hAnsiTheme="minorHAnsi"/>
                <w:iCs/>
                <w:sz w:val="24"/>
                <w:szCs w:val="24"/>
              </w:rPr>
            </w:pPr>
            <w:r w:rsidRPr="00885B01">
              <w:rPr>
                <w:rFonts w:asciiTheme="minorHAnsi" w:hAnsiTheme="minorHAnsi"/>
                <w:iCs/>
              </w:rPr>
              <w:t xml:space="preserve">           28.8 </w:t>
            </w:r>
          </w:p>
        </w:tc>
        <w:tc>
          <w:tcPr>
            <w:tcW w:w="1153" w:type="dxa"/>
            <w:vAlign w:val="bottom"/>
          </w:tcPr>
          <w:p w:rsidR="00A73609" w:rsidRPr="00885B01" w:rsidRDefault="00A73609" w:rsidP="00411B80">
            <w:pPr>
              <w:jc w:val="right"/>
              <w:rPr>
                <w:rFonts w:asciiTheme="minorHAnsi" w:hAnsiTheme="minorHAnsi" w:cstheme="minorHAnsi"/>
                <w:noProof/>
              </w:rPr>
            </w:pPr>
          </w:p>
        </w:tc>
      </w:tr>
      <w:tr w:rsidR="00A73609" w:rsidRPr="00F272B8" w:rsidTr="00411B80">
        <w:trPr>
          <w:trHeight w:val="301"/>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5</w:t>
            </w:r>
          </w:p>
        </w:tc>
        <w:tc>
          <w:tcPr>
            <w:tcW w:w="1746" w:type="dxa"/>
          </w:tcPr>
          <w:p w:rsidR="00A73609" w:rsidRPr="00885B01" w:rsidRDefault="00A73609">
            <w:pPr>
              <w:rPr>
                <w:rFonts w:asciiTheme="minorHAnsi" w:hAnsiTheme="minorHAnsi"/>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sz w:val="24"/>
                <w:szCs w:val="24"/>
              </w:rPr>
            </w:pPr>
            <w:r w:rsidRPr="00885B01">
              <w:rPr>
                <w:rFonts w:asciiTheme="minorHAnsi" w:hAnsiTheme="minorHAnsi"/>
              </w:rPr>
              <w:t>Title IX Coordinator</w:t>
            </w:r>
          </w:p>
        </w:tc>
        <w:tc>
          <w:tcPr>
            <w:tcW w:w="1187" w:type="dxa"/>
            <w:vAlign w:val="bottom"/>
          </w:tcPr>
          <w:p w:rsidR="00A73609" w:rsidRPr="00885B01" w:rsidRDefault="00A73609">
            <w:pPr>
              <w:rPr>
                <w:rFonts w:asciiTheme="minorHAnsi" w:hAnsiTheme="minorHAnsi"/>
                <w:iCs/>
                <w:sz w:val="24"/>
                <w:szCs w:val="24"/>
              </w:rPr>
            </w:pPr>
            <w:r w:rsidRPr="00885B01">
              <w:rPr>
                <w:rFonts w:asciiTheme="minorHAnsi" w:hAnsiTheme="minorHAnsi"/>
                <w:iCs/>
              </w:rPr>
              <w:t xml:space="preserve">         100.0 </w:t>
            </w:r>
          </w:p>
        </w:tc>
        <w:tc>
          <w:tcPr>
            <w:tcW w:w="1153" w:type="dxa"/>
            <w:vAlign w:val="bottom"/>
          </w:tcPr>
          <w:p w:rsidR="00A73609" w:rsidRPr="00885B01" w:rsidRDefault="00A73609" w:rsidP="00411B80">
            <w:pPr>
              <w:jc w:val="right"/>
              <w:rPr>
                <w:rFonts w:asciiTheme="minorHAnsi" w:hAnsiTheme="minorHAnsi" w:cstheme="minorHAnsi"/>
                <w:noProof/>
              </w:rPr>
            </w:pPr>
          </w:p>
        </w:tc>
      </w:tr>
      <w:tr w:rsidR="00A73609" w:rsidRPr="00F272B8" w:rsidTr="00411B80">
        <w:trPr>
          <w:trHeight w:val="301"/>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6</w:t>
            </w:r>
          </w:p>
        </w:tc>
        <w:tc>
          <w:tcPr>
            <w:tcW w:w="1746" w:type="dxa"/>
          </w:tcPr>
          <w:p w:rsidR="00A73609" w:rsidRPr="00885B01" w:rsidRDefault="00A73609">
            <w:pPr>
              <w:rPr>
                <w:rFonts w:asciiTheme="minorHAnsi" w:hAnsiTheme="minorHAnsi"/>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sz w:val="24"/>
                <w:szCs w:val="24"/>
              </w:rPr>
            </w:pPr>
            <w:r w:rsidRPr="00885B01">
              <w:rPr>
                <w:rFonts w:asciiTheme="minorHAnsi" w:hAnsiTheme="minorHAnsi"/>
              </w:rPr>
              <w:t>Engineering Building Laboratory Coordinator</w:t>
            </w:r>
          </w:p>
        </w:tc>
        <w:tc>
          <w:tcPr>
            <w:tcW w:w="1187" w:type="dxa"/>
            <w:vAlign w:val="bottom"/>
          </w:tcPr>
          <w:p w:rsidR="00A73609" w:rsidRPr="00885B01" w:rsidRDefault="00A73609">
            <w:pPr>
              <w:rPr>
                <w:rFonts w:asciiTheme="minorHAnsi" w:hAnsiTheme="minorHAnsi"/>
                <w:iCs/>
                <w:sz w:val="24"/>
                <w:szCs w:val="24"/>
              </w:rPr>
            </w:pPr>
            <w:r w:rsidRPr="00885B01">
              <w:rPr>
                <w:rFonts w:asciiTheme="minorHAnsi" w:hAnsiTheme="minorHAnsi"/>
                <w:iCs/>
              </w:rPr>
              <w:t xml:space="preserve">           89.5 </w:t>
            </w:r>
          </w:p>
        </w:tc>
        <w:tc>
          <w:tcPr>
            <w:tcW w:w="1153" w:type="dxa"/>
            <w:vAlign w:val="bottom"/>
          </w:tcPr>
          <w:p w:rsidR="00A73609" w:rsidRPr="00885B01" w:rsidRDefault="00A73609" w:rsidP="00411B80">
            <w:pPr>
              <w:jc w:val="right"/>
              <w:rPr>
                <w:rFonts w:asciiTheme="minorHAnsi" w:hAnsiTheme="minorHAnsi" w:cstheme="minorHAnsi"/>
                <w:noProof/>
              </w:rPr>
            </w:pPr>
          </w:p>
        </w:tc>
      </w:tr>
      <w:tr w:rsidR="00A73609" w:rsidRPr="00F272B8" w:rsidTr="00411B80">
        <w:trPr>
          <w:trHeight w:val="368"/>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7</w:t>
            </w:r>
          </w:p>
        </w:tc>
        <w:tc>
          <w:tcPr>
            <w:tcW w:w="1746" w:type="dxa"/>
          </w:tcPr>
          <w:p w:rsidR="00A73609" w:rsidRPr="00885B01" w:rsidRDefault="00A73609">
            <w:pPr>
              <w:rPr>
                <w:rFonts w:asciiTheme="minorHAnsi" w:hAnsiTheme="minorHAnsi"/>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color w:val="000000"/>
                <w:sz w:val="24"/>
                <w:szCs w:val="24"/>
              </w:rPr>
            </w:pPr>
            <w:r w:rsidRPr="00885B01">
              <w:rPr>
                <w:rFonts w:asciiTheme="minorHAnsi" w:hAnsiTheme="minorHAnsi"/>
                <w:color w:val="000000"/>
              </w:rPr>
              <w:t>MSC Valley Center for Arts and Learning Technician</w:t>
            </w:r>
          </w:p>
        </w:tc>
        <w:tc>
          <w:tcPr>
            <w:tcW w:w="1187" w:type="dxa"/>
            <w:vAlign w:val="bottom"/>
          </w:tcPr>
          <w:p w:rsidR="00A73609" w:rsidRPr="00885B01" w:rsidRDefault="00A73609">
            <w:pPr>
              <w:rPr>
                <w:rFonts w:asciiTheme="minorHAnsi" w:hAnsiTheme="minorHAnsi"/>
                <w:iCs/>
                <w:sz w:val="24"/>
                <w:szCs w:val="24"/>
              </w:rPr>
            </w:pPr>
            <w:r w:rsidRPr="00885B01">
              <w:rPr>
                <w:rFonts w:asciiTheme="minorHAnsi" w:hAnsiTheme="minorHAnsi"/>
                <w:iCs/>
              </w:rPr>
              <w:t xml:space="preserve">           60.5</w:t>
            </w:r>
          </w:p>
        </w:tc>
        <w:tc>
          <w:tcPr>
            <w:tcW w:w="1153" w:type="dxa"/>
            <w:vAlign w:val="bottom"/>
          </w:tcPr>
          <w:p w:rsidR="00A73609" w:rsidRPr="00885B01" w:rsidRDefault="00A73609" w:rsidP="00411B80">
            <w:pPr>
              <w:jc w:val="right"/>
              <w:rPr>
                <w:rFonts w:asciiTheme="minorHAnsi" w:hAnsiTheme="minorHAnsi" w:cstheme="minorHAnsi"/>
                <w:noProof/>
              </w:rPr>
            </w:pPr>
          </w:p>
        </w:tc>
      </w:tr>
      <w:tr w:rsidR="00A73609" w:rsidRPr="00F272B8" w:rsidTr="00411B80">
        <w:trPr>
          <w:trHeight w:val="301"/>
        </w:trPr>
        <w:tc>
          <w:tcPr>
            <w:tcW w:w="1305" w:type="dxa"/>
          </w:tcPr>
          <w:p w:rsidR="00A73609" w:rsidRPr="00885B01" w:rsidRDefault="00A73609" w:rsidP="007133CF">
            <w:pPr>
              <w:jc w:val="center"/>
              <w:rPr>
                <w:rFonts w:asciiTheme="minorHAnsi" w:hAnsiTheme="minorHAnsi" w:cstheme="minorHAnsi"/>
                <w:noProof/>
              </w:rPr>
            </w:pPr>
            <w:r w:rsidRPr="00885B01">
              <w:rPr>
                <w:rFonts w:asciiTheme="minorHAnsi" w:hAnsiTheme="minorHAnsi" w:cstheme="minorHAnsi"/>
                <w:noProof/>
              </w:rPr>
              <w:t>8</w:t>
            </w:r>
          </w:p>
        </w:tc>
        <w:tc>
          <w:tcPr>
            <w:tcW w:w="1746" w:type="dxa"/>
          </w:tcPr>
          <w:p w:rsidR="00A73609" w:rsidRPr="00885B01" w:rsidRDefault="00A73609">
            <w:pPr>
              <w:rPr>
                <w:rFonts w:asciiTheme="minorHAnsi" w:hAnsiTheme="minorHAnsi"/>
              </w:rPr>
            </w:pPr>
            <w:r w:rsidRPr="00885B01">
              <w:rPr>
                <w:rFonts w:asciiTheme="minorHAnsi" w:hAnsiTheme="minorHAnsi" w:cstheme="minorHAnsi"/>
                <w:noProof/>
              </w:rPr>
              <w:t>Fixed Costs</w:t>
            </w:r>
          </w:p>
        </w:tc>
        <w:tc>
          <w:tcPr>
            <w:tcW w:w="5247" w:type="dxa"/>
            <w:vAlign w:val="bottom"/>
          </w:tcPr>
          <w:p w:rsidR="00A73609" w:rsidRPr="00885B01" w:rsidRDefault="00A73609">
            <w:pPr>
              <w:rPr>
                <w:rFonts w:asciiTheme="minorHAnsi" w:hAnsiTheme="minorHAnsi"/>
                <w:sz w:val="24"/>
                <w:szCs w:val="24"/>
              </w:rPr>
            </w:pPr>
            <w:r w:rsidRPr="00885B01">
              <w:rPr>
                <w:rFonts w:asciiTheme="minorHAnsi" w:hAnsiTheme="minorHAnsi"/>
              </w:rPr>
              <w:t>UPD Police Officer</w:t>
            </w:r>
          </w:p>
        </w:tc>
        <w:tc>
          <w:tcPr>
            <w:tcW w:w="1187" w:type="dxa"/>
            <w:vAlign w:val="bottom"/>
          </w:tcPr>
          <w:p w:rsidR="00A73609" w:rsidRPr="00885B01" w:rsidRDefault="00A73609">
            <w:pPr>
              <w:rPr>
                <w:rFonts w:asciiTheme="minorHAnsi" w:hAnsiTheme="minorHAnsi"/>
                <w:iCs/>
                <w:sz w:val="24"/>
                <w:szCs w:val="24"/>
              </w:rPr>
            </w:pPr>
            <w:r w:rsidRPr="00885B01">
              <w:rPr>
                <w:rFonts w:asciiTheme="minorHAnsi" w:hAnsiTheme="minorHAnsi"/>
                <w:iCs/>
              </w:rPr>
              <w:t xml:space="preserve">         100.0 </w:t>
            </w:r>
          </w:p>
        </w:tc>
        <w:tc>
          <w:tcPr>
            <w:tcW w:w="1153" w:type="dxa"/>
            <w:vAlign w:val="bottom"/>
          </w:tcPr>
          <w:p w:rsidR="00A73609" w:rsidRPr="00885B01" w:rsidRDefault="00A73609" w:rsidP="00411B80">
            <w:pPr>
              <w:jc w:val="right"/>
              <w:rPr>
                <w:rFonts w:asciiTheme="minorHAnsi" w:hAnsiTheme="minorHAnsi" w:cstheme="minorHAnsi"/>
                <w:noProof/>
              </w:rPr>
            </w:pPr>
          </w:p>
        </w:tc>
      </w:tr>
      <w:tr w:rsidR="00CF7951" w:rsidRPr="00F272B8" w:rsidTr="00411B80">
        <w:trPr>
          <w:trHeight w:val="287"/>
        </w:trPr>
        <w:tc>
          <w:tcPr>
            <w:tcW w:w="8298" w:type="dxa"/>
            <w:gridSpan w:val="3"/>
            <w:tcBorders>
              <w:bottom w:val="single" w:sz="4" w:space="0" w:color="auto"/>
            </w:tcBorders>
          </w:tcPr>
          <w:p w:rsidR="00CF7951" w:rsidRPr="00885B01" w:rsidRDefault="00CF7951" w:rsidP="00A73609">
            <w:pPr>
              <w:jc w:val="right"/>
              <w:rPr>
                <w:rFonts w:asciiTheme="minorHAnsi" w:hAnsiTheme="minorHAnsi" w:cstheme="minorHAnsi"/>
                <w:noProof/>
              </w:rPr>
            </w:pPr>
            <w:r w:rsidRPr="00885B01">
              <w:rPr>
                <w:rFonts w:asciiTheme="minorHAnsi" w:hAnsiTheme="minorHAnsi" w:cstheme="minorHAnsi"/>
                <w:b/>
                <w:noProof/>
              </w:rPr>
              <w:t>Total Fixed Costs</w:t>
            </w:r>
          </w:p>
        </w:tc>
        <w:tc>
          <w:tcPr>
            <w:tcW w:w="1187" w:type="dxa"/>
            <w:tcBorders>
              <w:bottom w:val="single" w:sz="4" w:space="0" w:color="auto"/>
            </w:tcBorders>
          </w:tcPr>
          <w:p w:rsidR="00CF7951" w:rsidRPr="00885B01" w:rsidRDefault="007F397D" w:rsidP="007133CF">
            <w:pPr>
              <w:jc w:val="right"/>
              <w:rPr>
                <w:rFonts w:asciiTheme="minorHAnsi" w:hAnsiTheme="minorHAnsi" w:cstheme="minorHAnsi"/>
                <w:b/>
                <w:noProof/>
              </w:rPr>
            </w:pPr>
            <w:r>
              <w:rPr>
                <w:rFonts w:asciiTheme="minorHAnsi" w:hAnsiTheme="minorHAnsi" w:cstheme="minorHAnsi"/>
                <w:b/>
                <w:noProof/>
              </w:rPr>
              <w:t>4,023.6</w:t>
            </w:r>
          </w:p>
        </w:tc>
        <w:tc>
          <w:tcPr>
            <w:tcW w:w="1153" w:type="dxa"/>
            <w:tcBorders>
              <w:bottom w:val="single" w:sz="4" w:space="0" w:color="auto"/>
            </w:tcBorders>
            <w:vAlign w:val="bottom"/>
          </w:tcPr>
          <w:p w:rsidR="00CF7951" w:rsidRPr="00885B01" w:rsidRDefault="00CF7951" w:rsidP="00411B80">
            <w:pPr>
              <w:jc w:val="right"/>
              <w:rPr>
                <w:rFonts w:asciiTheme="minorHAnsi" w:hAnsiTheme="minorHAnsi" w:cstheme="minorHAnsi"/>
                <w:b/>
                <w:noProof/>
              </w:rPr>
            </w:pPr>
          </w:p>
        </w:tc>
      </w:tr>
      <w:tr w:rsidR="00CF7951" w:rsidRPr="00F272B8" w:rsidTr="00D46919">
        <w:trPr>
          <w:trHeight w:val="633"/>
        </w:trPr>
        <w:tc>
          <w:tcPr>
            <w:tcW w:w="8298" w:type="dxa"/>
            <w:gridSpan w:val="3"/>
            <w:tcBorders>
              <w:top w:val="single" w:sz="4" w:space="0" w:color="auto"/>
              <w:left w:val="single" w:sz="4" w:space="0" w:color="auto"/>
              <w:bottom w:val="single" w:sz="4" w:space="0" w:color="auto"/>
            </w:tcBorders>
            <w:vAlign w:val="center"/>
          </w:tcPr>
          <w:p w:rsidR="00CF7951" w:rsidRPr="00411B80" w:rsidRDefault="00CF7951" w:rsidP="007133CF">
            <w:pPr>
              <w:jc w:val="center"/>
              <w:rPr>
                <w:rFonts w:asciiTheme="minorHAnsi" w:hAnsiTheme="minorHAnsi" w:cstheme="minorHAnsi"/>
                <w:b/>
                <w:noProof/>
                <w:sz w:val="28"/>
              </w:rPr>
            </w:pPr>
          </w:p>
          <w:p w:rsidR="00CF7951" w:rsidRPr="00411B80" w:rsidRDefault="00CF7951" w:rsidP="007133CF">
            <w:pPr>
              <w:jc w:val="center"/>
              <w:rPr>
                <w:rFonts w:asciiTheme="minorHAnsi" w:hAnsiTheme="minorHAnsi" w:cstheme="minorHAnsi"/>
                <w:b/>
                <w:noProof/>
                <w:sz w:val="28"/>
              </w:rPr>
            </w:pPr>
            <w:r w:rsidRPr="00411B80">
              <w:rPr>
                <w:rFonts w:asciiTheme="minorHAnsi" w:hAnsiTheme="minorHAnsi" w:cstheme="minorHAnsi"/>
                <w:b/>
                <w:noProof/>
                <w:sz w:val="28"/>
              </w:rPr>
              <w:t xml:space="preserve">GRAND TOTAL – PROGRAM INCREMENTS AND FIXED COSTS </w:t>
            </w:r>
          </w:p>
          <w:p w:rsidR="00CF7951" w:rsidRPr="00411B80" w:rsidRDefault="00CF7951" w:rsidP="007133CF">
            <w:pPr>
              <w:jc w:val="center"/>
              <w:rPr>
                <w:rFonts w:asciiTheme="minorHAnsi" w:hAnsiTheme="minorHAnsi" w:cstheme="minorHAnsi"/>
                <w:b/>
                <w:noProof/>
                <w:sz w:val="28"/>
              </w:rPr>
            </w:pPr>
          </w:p>
        </w:tc>
        <w:tc>
          <w:tcPr>
            <w:tcW w:w="1187" w:type="dxa"/>
            <w:tcBorders>
              <w:top w:val="single" w:sz="4" w:space="0" w:color="auto"/>
              <w:bottom w:val="single" w:sz="4" w:space="0" w:color="auto"/>
            </w:tcBorders>
            <w:vAlign w:val="center"/>
          </w:tcPr>
          <w:p w:rsidR="00CF7951" w:rsidRPr="00411B80" w:rsidRDefault="0062714C" w:rsidP="00D46919">
            <w:pPr>
              <w:jc w:val="center"/>
              <w:rPr>
                <w:rFonts w:asciiTheme="minorHAnsi" w:hAnsiTheme="minorHAnsi" w:cstheme="minorHAnsi"/>
                <w:b/>
                <w:noProof/>
                <w:sz w:val="28"/>
              </w:rPr>
            </w:pPr>
            <w:r w:rsidRPr="00411B80">
              <w:rPr>
                <w:rFonts w:asciiTheme="minorHAnsi" w:hAnsiTheme="minorHAnsi" w:cstheme="minorHAnsi"/>
                <w:b/>
                <w:noProof/>
                <w:sz w:val="28"/>
              </w:rPr>
              <w:t>5,576.1</w:t>
            </w:r>
          </w:p>
        </w:tc>
        <w:tc>
          <w:tcPr>
            <w:tcW w:w="1153" w:type="dxa"/>
            <w:tcBorders>
              <w:top w:val="single" w:sz="4" w:space="0" w:color="auto"/>
              <w:bottom w:val="single" w:sz="4" w:space="0" w:color="auto"/>
              <w:right w:val="single" w:sz="4" w:space="0" w:color="auto"/>
            </w:tcBorders>
            <w:vAlign w:val="center"/>
          </w:tcPr>
          <w:p w:rsidR="00D46919" w:rsidRPr="00D46919" w:rsidRDefault="00D46919" w:rsidP="00D46919">
            <w:pPr>
              <w:jc w:val="center"/>
              <w:rPr>
                <w:rFonts w:asciiTheme="minorHAnsi" w:hAnsiTheme="minorHAnsi" w:cstheme="minorHAnsi"/>
                <w:b/>
                <w:noProof/>
                <w:sz w:val="28"/>
                <w:szCs w:val="28"/>
              </w:rPr>
            </w:pPr>
            <w:r w:rsidRPr="00D46919">
              <w:rPr>
                <w:rFonts w:asciiTheme="minorHAnsi" w:hAnsiTheme="minorHAnsi" w:cstheme="minorHAnsi"/>
                <w:b/>
                <w:noProof/>
                <w:sz w:val="28"/>
                <w:szCs w:val="28"/>
              </w:rPr>
              <w:t>45.0</w:t>
            </w:r>
          </w:p>
        </w:tc>
      </w:tr>
    </w:tbl>
    <w:p w:rsidR="00CF7951" w:rsidRDefault="00CF7951" w:rsidP="0019511E">
      <w:pPr>
        <w:rPr>
          <w:rFonts w:asciiTheme="minorHAnsi" w:hAnsiTheme="minorHAnsi"/>
          <w:b/>
          <w:sz w:val="32"/>
          <w:szCs w:val="24"/>
          <w:highlight w:val="yellow"/>
        </w:rPr>
      </w:pPr>
    </w:p>
    <w:p w:rsidR="00430B02" w:rsidRDefault="00430B02" w:rsidP="0019511E">
      <w:pPr>
        <w:rPr>
          <w:rFonts w:asciiTheme="minorHAnsi" w:hAnsiTheme="minorHAnsi"/>
          <w:b/>
          <w:sz w:val="32"/>
          <w:szCs w:val="24"/>
          <w:highlight w:val="yellow"/>
        </w:rPr>
      </w:pPr>
    </w:p>
    <w:p w:rsidR="00430B02" w:rsidRDefault="00430B02" w:rsidP="0019511E">
      <w:pPr>
        <w:rPr>
          <w:rFonts w:asciiTheme="minorHAnsi" w:hAnsiTheme="minorHAnsi"/>
          <w:b/>
          <w:sz w:val="32"/>
          <w:szCs w:val="24"/>
          <w:highlight w:val="yellow"/>
        </w:rPr>
      </w:pPr>
    </w:p>
    <w:p w:rsidR="00477847" w:rsidRPr="00534907" w:rsidRDefault="008E3844" w:rsidP="0019511E">
      <w:pPr>
        <w:rPr>
          <w:rFonts w:asciiTheme="minorHAnsi" w:hAnsiTheme="minorHAnsi"/>
          <w:b/>
          <w:color w:val="669900"/>
          <w:sz w:val="4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34907">
        <w:rPr>
          <w:rFonts w:asciiTheme="minorHAnsi" w:hAnsiTheme="minorHAnsi"/>
          <w:b/>
          <w:color w:val="669900"/>
          <w:sz w:val="4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Health Care By and For Alaskans</w:t>
      </w:r>
      <w:r w:rsidR="00477847" w:rsidRPr="00534907">
        <w:rPr>
          <w:rFonts w:asciiTheme="minorHAnsi" w:hAnsiTheme="minorHAnsi"/>
          <w:b/>
          <w:color w:val="669900"/>
          <w:sz w:val="4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17C50" w:rsidRPr="00534907">
        <w:rPr>
          <w:rFonts w:asciiTheme="minorHAnsi" w:hAnsiTheme="minorHAnsi"/>
          <w:b/>
          <w:color w:val="669900"/>
          <w:sz w:val="44"/>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Increment</w:t>
      </w:r>
    </w:p>
    <w:p w:rsidR="00315F6D" w:rsidRDefault="00315F6D" w:rsidP="008E3844">
      <w:pPr>
        <w:rPr>
          <w:rFonts w:asciiTheme="minorHAnsi" w:hAnsiTheme="minorHAnsi"/>
          <w:b/>
          <w:sz w:val="28"/>
          <w:szCs w:val="24"/>
        </w:rPr>
      </w:pPr>
    </w:p>
    <w:p w:rsidR="008E3844" w:rsidRPr="00C94A9F" w:rsidRDefault="00C94A9F" w:rsidP="008E3844">
      <w:pPr>
        <w:rPr>
          <w:sz w:val="24"/>
        </w:rPr>
      </w:pPr>
      <w:r w:rsidRPr="00C94A9F">
        <w:rPr>
          <w:rFonts w:asciiTheme="minorHAnsi" w:hAnsiTheme="minorHAnsi"/>
          <w:b/>
          <w:sz w:val="28"/>
          <w:szCs w:val="24"/>
        </w:rPr>
        <w:t>SUMMARY:</w:t>
      </w:r>
    </w:p>
    <w:p w:rsidR="008E3844" w:rsidRDefault="008E3844" w:rsidP="008E3844">
      <w:r>
        <w:t>Health care is vital to Alaska. According to the Department of Labor and Workforce Development, “</w:t>
      </w:r>
      <w:r w:rsidRPr="00222005">
        <w:rPr>
          <w:b/>
          <w:bCs/>
        </w:rPr>
        <w:t>Health care is an indispensable service</w:t>
      </w:r>
      <w:r w:rsidRPr="00222005">
        <w:t>, just like running water, electricity, public education, police and fire protection, roads and highways, and other hallmarks of developed nations.</w:t>
      </w:r>
      <w:r>
        <w:t xml:space="preserve">” </w:t>
      </w:r>
      <w:r w:rsidRPr="00222005">
        <w:t>It is an important industry to Alaska’s economy, with nearly 10% of the workforce in more than 36,000 jobs</w:t>
      </w:r>
      <w:r>
        <w:t>,</w:t>
      </w:r>
      <w:r w:rsidRPr="00222005">
        <w:t xml:space="preserve"> and a payroll of more than $1.6 billion, with workers scattered </w:t>
      </w:r>
      <w:r>
        <w:t>throughout</w:t>
      </w:r>
      <w:r w:rsidRPr="00222005">
        <w:t xml:space="preserve"> the state.</w:t>
      </w:r>
      <w:r>
        <w:t xml:space="preserve"> The complexity of the industry is reflected in its workforce </w:t>
      </w:r>
      <w:r w:rsidR="00097FAA">
        <w:t>who</w:t>
      </w:r>
      <w:r>
        <w:t xml:space="preserve"> must be prepared to meet the unique needs of patients, whenever and wherever they need care. This</w:t>
      </w:r>
      <w:r w:rsidRPr="00222005">
        <w:t xml:space="preserve"> workforce includes occupations requiring the full gamut of education and training, from short term on the job training to post-doctoral education, </w:t>
      </w:r>
      <w:r>
        <w:t>and also</w:t>
      </w:r>
      <w:r w:rsidRPr="00222005">
        <w:t xml:space="preserve"> ongoing required continuing education, adding to the challenge</w:t>
      </w:r>
      <w:r>
        <w:t xml:space="preserve"> of preparing and sustaining an adequate, well-trained workforce</w:t>
      </w:r>
      <w:r w:rsidRPr="00222005">
        <w:t>.</w:t>
      </w:r>
      <w:r w:rsidR="009B5D5B">
        <w:t xml:space="preserve"> The five</w:t>
      </w:r>
      <w:r>
        <w:t xml:space="preserve"> programs included in the Health budget request proposed by UAA are key components to reaching this goal.</w:t>
      </w:r>
    </w:p>
    <w:p w:rsidR="00655854" w:rsidRPr="008A6D07" w:rsidRDefault="00655854" w:rsidP="0019511E">
      <w:pPr>
        <w:rPr>
          <w:rFonts w:asciiTheme="minorHAnsi" w:hAnsiTheme="minorHAnsi"/>
          <w:b/>
          <w:sz w:val="24"/>
          <w:szCs w:val="24"/>
        </w:rPr>
      </w:pPr>
    </w:p>
    <w:p w:rsidR="008B18A0" w:rsidRDefault="008B18A0" w:rsidP="0019511E">
      <w:pPr>
        <w:rPr>
          <w:rFonts w:asciiTheme="minorHAnsi" w:hAnsiTheme="minorHAnsi"/>
          <w:b/>
          <w:sz w:val="28"/>
          <w:szCs w:val="24"/>
        </w:rPr>
      </w:pPr>
    </w:p>
    <w:p w:rsidR="008B18A0" w:rsidRDefault="008B18A0" w:rsidP="0019511E">
      <w:pPr>
        <w:rPr>
          <w:rFonts w:asciiTheme="minorHAnsi" w:hAnsiTheme="minorHAnsi"/>
          <w:b/>
          <w:sz w:val="28"/>
          <w:szCs w:val="24"/>
        </w:rPr>
      </w:pPr>
    </w:p>
    <w:p w:rsidR="004D48E5" w:rsidRDefault="00655854" w:rsidP="0019511E">
      <w:pPr>
        <w:rPr>
          <w:rFonts w:asciiTheme="minorHAnsi" w:hAnsiTheme="minorHAnsi"/>
          <w:b/>
          <w:sz w:val="28"/>
          <w:szCs w:val="24"/>
        </w:rPr>
      </w:pPr>
      <w:r w:rsidRPr="00115EC9">
        <w:rPr>
          <w:rFonts w:asciiTheme="minorHAnsi" w:hAnsiTheme="minorHAnsi"/>
          <w:b/>
          <w:sz w:val="28"/>
          <w:szCs w:val="24"/>
        </w:rPr>
        <w:t>Alaska Area Health Education Center (AHEC) System: Statewide Health Workforce Pipeline</w:t>
      </w:r>
      <w:r w:rsidR="00097FAA">
        <w:rPr>
          <w:rFonts w:asciiTheme="minorHAnsi" w:hAnsiTheme="minorHAnsi"/>
          <w:b/>
          <w:sz w:val="28"/>
          <w:szCs w:val="24"/>
        </w:rPr>
        <w:t>,</w:t>
      </w:r>
      <w:r w:rsidR="00FE4FAC" w:rsidRPr="00115EC9">
        <w:rPr>
          <w:rFonts w:asciiTheme="minorHAnsi" w:hAnsiTheme="minorHAnsi"/>
          <w:b/>
          <w:sz w:val="28"/>
          <w:szCs w:val="24"/>
        </w:rPr>
        <w:t xml:space="preserve"> $330.0 GF</w:t>
      </w:r>
      <w:r w:rsidR="004D48E5">
        <w:rPr>
          <w:rFonts w:asciiTheme="minorHAnsi" w:hAnsiTheme="minorHAnsi"/>
          <w:b/>
          <w:sz w:val="28"/>
          <w:szCs w:val="24"/>
        </w:rPr>
        <w:t xml:space="preserve"> </w:t>
      </w:r>
    </w:p>
    <w:p w:rsidR="004D48E5" w:rsidRPr="00576459" w:rsidRDefault="002C560B" w:rsidP="0019511E">
      <w:pPr>
        <w:rPr>
          <w:rFonts w:asciiTheme="minorHAnsi" w:hAnsiTheme="minorHAnsi"/>
          <w:b/>
          <w:sz w:val="24"/>
          <w:szCs w:val="24"/>
        </w:rPr>
      </w:pPr>
      <w:r w:rsidRPr="00576459">
        <w:rPr>
          <w:rFonts w:asciiTheme="minorHAnsi" w:hAnsiTheme="minorHAnsi"/>
          <w:b/>
          <w:sz w:val="24"/>
          <w:szCs w:val="24"/>
        </w:rPr>
        <w:t>Shap</w:t>
      </w:r>
      <w:r w:rsidR="004003CD" w:rsidRPr="00576459">
        <w:rPr>
          <w:rFonts w:asciiTheme="minorHAnsi" w:hAnsiTheme="minorHAnsi"/>
          <w:b/>
          <w:sz w:val="24"/>
          <w:szCs w:val="24"/>
        </w:rPr>
        <w:t>i</w:t>
      </w:r>
      <w:r w:rsidRPr="00576459">
        <w:rPr>
          <w:rFonts w:asciiTheme="minorHAnsi" w:hAnsiTheme="minorHAnsi"/>
          <w:b/>
          <w:sz w:val="24"/>
          <w:szCs w:val="24"/>
        </w:rPr>
        <w:t>ng Alaska’s Future Theme/Issue:</w:t>
      </w:r>
      <w:r w:rsidR="004D48E5" w:rsidRPr="00576459">
        <w:rPr>
          <w:rFonts w:asciiTheme="minorHAnsi" w:hAnsiTheme="minorHAnsi"/>
          <w:b/>
          <w:sz w:val="24"/>
          <w:szCs w:val="24"/>
        </w:rPr>
        <w:t xml:space="preserve"> 1D/E/F, 2A/C, 3A/C, </w:t>
      </w:r>
      <w:r w:rsidR="009528FA" w:rsidRPr="00576459">
        <w:rPr>
          <w:rFonts w:asciiTheme="minorHAnsi" w:hAnsiTheme="minorHAnsi"/>
          <w:b/>
          <w:sz w:val="24"/>
          <w:szCs w:val="24"/>
        </w:rPr>
        <w:t>4A</w:t>
      </w:r>
      <w:r w:rsidR="004D48E5" w:rsidRPr="00576459">
        <w:rPr>
          <w:rFonts w:asciiTheme="minorHAnsi" w:hAnsiTheme="minorHAnsi"/>
          <w:b/>
          <w:sz w:val="24"/>
          <w:szCs w:val="24"/>
        </w:rPr>
        <w:t xml:space="preserve"> </w:t>
      </w:r>
    </w:p>
    <w:p w:rsidR="00655854" w:rsidRDefault="009528FA" w:rsidP="0019511E">
      <w:pPr>
        <w:rPr>
          <w:rFonts w:asciiTheme="minorHAnsi" w:hAnsiTheme="minorHAnsi"/>
          <w:b/>
          <w:sz w:val="24"/>
          <w:szCs w:val="24"/>
        </w:rPr>
      </w:pPr>
      <w:r w:rsidRPr="00576459">
        <w:rPr>
          <w:rFonts w:asciiTheme="minorHAnsi" w:hAnsiTheme="minorHAnsi"/>
          <w:b/>
          <w:sz w:val="24"/>
          <w:szCs w:val="24"/>
        </w:rPr>
        <w:t xml:space="preserve">Positions: </w:t>
      </w:r>
      <w:r w:rsidR="004D48E5" w:rsidRPr="00576459">
        <w:rPr>
          <w:rFonts w:asciiTheme="minorHAnsi" w:hAnsiTheme="minorHAnsi"/>
          <w:b/>
          <w:sz w:val="24"/>
          <w:szCs w:val="24"/>
        </w:rPr>
        <w:t xml:space="preserve">.5 FTE staff in each </w:t>
      </w:r>
      <w:r w:rsidRPr="00576459">
        <w:rPr>
          <w:rFonts w:asciiTheme="minorHAnsi" w:hAnsiTheme="minorHAnsi"/>
          <w:b/>
          <w:sz w:val="24"/>
          <w:szCs w:val="24"/>
        </w:rPr>
        <w:t xml:space="preserve">of 5 </w:t>
      </w:r>
      <w:r w:rsidR="004D48E5" w:rsidRPr="00576459">
        <w:rPr>
          <w:rFonts w:asciiTheme="minorHAnsi" w:hAnsiTheme="minorHAnsi"/>
          <w:b/>
          <w:sz w:val="24"/>
          <w:szCs w:val="24"/>
        </w:rPr>
        <w:t>regional center</w:t>
      </w:r>
      <w:r w:rsidRPr="00576459">
        <w:rPr>
          <w:rFonts w:asciiTheme="minorHAnsi" w:hAnsiTheme="minorHAnsi"/>
          <w:b/>
          <w:sz w:val="24"/>
          <w:szCs w:val="24"/>
        </w:rPr>
        <w:t>s</w:t>
      </w:r>
      <w:r w:rsidR="004D48E5" w:rsidRPr="00576459">
        <w:rPr>
          <w:rFonts w:asciiTheme="minorHAnsi" w:hAnsiTheme="minorHAnsi"/>
          <w:b/>
          <w:sz w:val="24"/>
          <w:szCs w:val="24"/>
        </w:rPr>
        <w:t>, plus .25 FTE staff in UAA program office</w:t>
      </w:r>
    </w:p>
    <w:p w:rsidR="00397801" w:rsidRDefault="00CC71A3" w:rsidP="00CC71A3">
      <w:pPr>
        <w:rPr>
          <w:color w:val="000000"/>
        </w:rPr>
      </w:pPr>
      <w:r>
        <w:rPr>
          <w:color w:val="000000"/>
        </w:rPr>
        <w:t>The University of Alaska Anchorage is the grantee and headquarters for the statewide Alaska Area Health Education Center (AHEC) system that oversees five, regionally-based Centers. The federal prog</w:t>
      </w:r>
      <w:r w:rsidR="00111373">
        <w:rPr>
          <w:color w:val="000000"/>
        </w:rPr>
        <w:t>ram requires this program exist</w:t>
      </w:r>
      <w:r>
        <w:rPr>
          <w:color w:val="000000"/>
        </w:rPr>
        <w:t xml:space="preserve"> within a University and</w:t>
      </w:r>
      <w:r w:rsidR="00540A52">
        <w:rPr>
          <w:color w:val="000000"/>
        </w:rPr>
        <w:t xml:space="preserve"> be</w:t>
      </w:r>
      <w:r>
        <w:rPr>
          <w:color w:val="000000"/>
        </w:rPr>
        <w:t xml:space="preserve"> located within a School of Medicine or School of Nursing since the goal is to build and sustain a primary care workforce. Alaska AHEC is affiliated with the WWAMI School of Medicine and the UAA School of Nursing</w:t>
      </w:r>
      <w:r w:rsidR="00397801">
        <w:rPr>
          <w:color w:val="000000"/>
        </w:rPr>
        <w:t>.</w:t>
      </w:r>
    </w:p>
    <w:p w:rsidR="00CC71A3" w:rsidRDefault="00CC71A3" w:rsidP="00CC71A3">
      <w:pPr>
        <w:rPr>
          <w:color w:val="000000"/>
        </w:rPr>
      </w:pPr>
      <w:r>
        <w:rPr>
          <w:color w:val="000000"/>
        </w:rPr>
        <w:t> </w:t>
      </w:r>
    </w:p>
    <w:p w:rsidR="00CC71A3" w:rsidRDefault="00CC71A3" w:rsidP="00CC71A3">
      <w:pPr>
        <w:rPr>
          <w:color w:val="000000"/>
        </w:rPr>
      </w:pPr>
      <w:r>
        <w:rPr>
          <w:color w:val="000000"/>
        </w:rPr>
        <w:t xml:space="preserve">The AHEC performs three major functions: 1. Fills the health workforce pipeline with Alaskan high school students, 2. Manages rural clinical rotations for health programs students, and 3. Provides continuing education to current health workers for licensure maintenance. While the </w:t>
      </w:r>
      <w:r w:rsidR="00397801">
        <w:rPr>
          <w:color w:val="000000"/>
        </w:rPr>
        <w:t xml:space="preserve">federal </w:t>
      </w:r>
      <w:r>
        <w:rPr>
          <w:color w:val="000000"/>
        </w:rPr>
        <w:t xml:space="preserve">Health Resources and Services Administration establishes AHEC programs in each state; they do not sustain them. Without state funding in FY2016, Alaska AHEC is at risk of losing its rural Centers, where critical provider shortages persist: 19% for physician assistants; 10% in nursing, and 14% for physicians, respectively (2012, ACRH). Alaska AHEC exists to meet this very need and to improve provider retention rates by growing our own workforce. </w:t>
      </w:r>
      <w:r w:rsidR="00397801">
        <w:rPr>
          <w:color w:val="000000"/>
        </w:rPr>
        <w:t xml:space="preserve"> </w:t>
      </w:r>
      <w:r>
        <w:rPr>
          <w:color w:val="000000"/>
        </w:rPr>
        <w:t xml:space="preserve">AHEC funding through the University of Alaska is the only </w:t>
      </w:r>
      <w:r w:rsidR="00397801">
        <w:rPr>
          <w:color w:val="000000"/>
        </w:rPr>
        <w:t>means</w:t>
      </w:r>
      <w:r>
        <w:rPr>
          <w:color w:val="000000"/>
        </w:rPr>
        <w:t xml:space="preserve"> to address these needs. </w:t>
      </w:r>
    </w:p>
    <w:p w:rsidR="00AA5C04" w:rsidRDefault="00AA5C04" w:rsidP="00AA5C04">
      <w:pPr>
        <w:rPr>
          <w:rFonts w:asciiTheme="minorHAnsi" w:hAnsiTheme="minorHAnsi"/>
          <w:b/>
          <w:sz w:val="28"/>
          <w:szCs w:val="28"/>
        </w:rPr>
      </w:pPr>
    </w:p>
    <w:p w:rsidR="00AA5C04" w:rsidRDefault="00AA5C04" w:rsidP="00AA5C04">
      <w:pPr>
        <w:rPr>
          <w:rFonts w:asciiTheme="minorHAnsi" w:hAnsiTheme="minorHAnsi"/>
          <w:b/>
          <w:sz w:val="28"/>
          <w:szCs w:val="28"/>
        </w:rPr>
      </w:pPr>
      <w:r w:rsidRPr="00115EC9">
        <w:rPr>
          <w:rFonts w:asciiTheme="minorHAnsi" w:hAnsiTheme="minorHAnsi"/>
          <w:b/>
          <w:sz w:val="28"/>
          <w:szCs w:val="28"/>
        </w:rPr>
        <w:t>College of Health Compliance Officer</w:t>
      </w:r>
      <w:r w:rsidR="00097FAA">
        <w:rPr>
          <w:rFonts w:asciiTheme="minorHAnsi" w:hAnsiTheme="minorHAnsi"/>
          <w:b/>
          <w:sz w:val="28"/>
          <w:szCs w:val="28"/>
        </w:rPr>
        <w:t>,</w:t>
      </w:r>
      <w:r w:rsidRPr="00115EC9">
        <w:rPr>
          <w:rFonts w:asciiTheme="minorHAnsi" w:hAnsiTheme="minorHAnsi"/>
          <w:b/>
          <w:sz w:val="28"/>
          <w:szCs w:val="28"/>
        </w:rPr>
        <w:t xml:space="preserve"> $</w:t>
      </w:r>
      <w:r>
        <w:rPr>
          <w:rFonts w:asciiTheme="minorHAnsi" w:hAnsiTheme="minorHAnsi"/>
          <w:b/>
          <w:sz w:val="28"/>
          <w:szCs w:val="28"/>
        </w:rPr>
        <w:t>1</w:t>
      </w:r>
      <w:r w:rsidRPr="00115EC9">
        <w:rPr>
          <w:rFonts w:asciiTheme="minorHAnsi" w:hAnsiTheme="minorHAnsi"/>
          <w:b/>
          <w:sz w:val="28"/>
          <w:szCs w:val="28"/>
        </w:rPr>
        <w:t>50.0 GF</w:t>
      </w:r>
    </w:p>
    <w:p w:rsidR="00AA5C04" w:rsidRPr="0088619E" w:rsidRDefault="00AA5C04" w:rsidP="00AA5C04">
      <w:pPr>
        <w:rPr>
          <w:rFonts w:asciiTheme="minorHAnsi" w:hAnsiTheme="minorHAnsi"/>
          <w:b/>
          <w:sz w:val="24"/>
          <w:szCs w:val="24"/>
        </w:rPr>
      </w:pPr>
      <w:r w:rsidRPr="0088619E">
        <w:rPr>
          <w:rFonts w:asciiTheme="minorHAnsi" w:hAnsiTheme="minorHAnsi"/>
          <w:b/>
          <w:sz w:val="24"/>
          <w:szCs w:val="24"/>
        </w:rPr>
        <w:t>Shaping Alaska’s Future Theme/Issue: 5D</w:t>
      </w:r>
    </w:p>
    <w:p w:rsidR="00AA5C04" w:rsidRPr="0088619E" w:rsidRDefault="00AA5C04" w:rsidP="00AA5C04">
      <w:pPr>
        <w:rPr>
          <w:rFonts w:asciiTheme="minorHAnsi" w:hAnsiTheme="minorHAnsi"/>
          <w:b/>
          <w:sz w:val="24"/>
          <w:szCs w:val="24"/>
        </w:rPr>
      </w:pPr>
      <w:r w:rsidRPr="0088619E">
        <w:rPr>
          <w:rFonts w:asciiTheme="minorHAnsi" w:hAnsiTheme="minorHAnsi"/>
          <w:b/>
          <w:sz w:val="24"/>
          <w:szCs w:val="24"/>
        </w:rPr>
        <w:t xml:space="preserve">Positions: </w:t>
      </w:r>
      <w:r>
        <w:rPr>
          <w:rFonts w:asciiTheme="minorHAnsi" w:hAnsiTheme="minorHAnsi"/>
          <w:b/>
          <w:sz w:val="24"/>
          <w:szCs w:val="24"/>
        </w:rPr>
        <w:t>1 FTE compliance officer</w:t>
      </w:r>
    </w:p>
    <w:p w:rsidR="008B18A0" w:rsidRDefault="00AA5C04" w:rsidP="00AA5C04">
      <w:pPr>
        <w:shd w:val="clear" w:color="auto" w:fill="FFFFFF"/>
        <w:rPr>
          <w:sz w:val="24"/>
        </w:rPr>
      </w:pPr>
      <w:r w:rsidRPr="006C415E">
        <w:rPr>
          <w:sz w:val="24"/>
        </w:rPr>
        <w:t>The UAA College of Health is under increased scrutiny to be compliant with statutes, regulations and policies as a result of the Healthcare Information Protection and Portability Act (HIPPA) and re: student clinical, practicum and field placements, health research and faculty conduct. Based on a recent COH compliance assessment by Aegis Compliance &amp; Ethics Center, LLP using</w:t>
      </w:r>
      <w:r>
        <w:rPr>
          <w:sz w:val="24"/>
        </w:rPr>
        <w:t xml:space="preserve"> Federal Sentencing Guidelines </w:t>
      </w:r>
      <w:r w:rsidRPr="006C415E">
        <w:rPr>
          <w:sz w:val="24"/>
        </w:rPr>
        <w:t>and various Office of Inspector General, U.S. Department of Health and Human Services (HHS-OIG) compliance directives</w:t>
      </w:r>
      <w:r w:rsidRPr="00E83F31">
        <w:rPr>
          <w:sz w:val="24"/>
        </w:rPr>
        <w:t xml:space="preserve">, it was determined the COH is significantly at risk.  </w:t>
      </w:r>
      <w:proofErr w:type="gramStart"/>
      <w:r w:rsidRPr="00E83F31">
        <w:rPr>
          <w:sz w:val="24"/>
        </w:rPr>
        <w:t>At risk for lawsuits, grievances, fines and negative publicity.</w:t>
      </w:r>
      <w:proofErr w:type="gramEnd"/>
      <w:r w:rsidRPr="00E83F31">
        <w:rPr>
          <w:sz w:val="24"/>
        </w:rPr>
        <w:t xml:space="preserve">  </w:t>
      </w:r>
    </w:p>
    <w:p w:rsidR="008B18A0" w:rsidRDefault="008B18A0" w:rsidP="00AA5C04">
      <w:pPr>
        <w:shd w:val="clear" w:color="auto" w:fill="FFFFFF"/>
        <w:rPr>
          <w:sz w:val="24"/>
        </w:rPr>
      </w:pPr>
    </w:p>
    <w:p w:rsidR="00AA5C04" w:rsidRPr="006C415E" w:rsidRDefault="00AA5C04" w:rsidP="00AA5C04">
      <w:pPr>
        <w:shd w:val="clear" w:color="auto" w:fill="FFFFFF"/>
        <w:rPr>
          <w:sz w:val="24"/>
        </w:rPr>
      </w:pPr>
      <w:r w:rsidRPr="006C415E">
        <w:rPr>
          <w:sz w:val="24"/>
        </w:rPr>
        <w:t>The number one compliance program requirement is the designation of a single person to accept responsibility for the program and manage its day-to-day operations to ensure the Compliance Program remains visible, active, and accountable.  A full-time COH Compliance Officer will develop, implement and oversee an effective compliance program to address areas of risk via written standards and procedures, conducting training and education, providing hotline oversight, conducting internal monitoring and auditing, and developing corrective actions to ensure COH has taken steps to fix non-compliant situations.  With a Compliance Officer in place, COH could avoid recent situations where impaired faculty had continued access to students, with negative impact on public opinion and student outcomes.</w:t>
      </w:r>
    </w:p>
    <w:p w:rsidR="00772B33" w:rsidRDefault="00772B33" w:rsidP="0019511E">
      <w:pPr>
        <w:rPr>
          <w:rFonts w:asciiTheme="minorHAnsi" w:hAnsiTheme="minorHAnsi"/>
          <w:b/>
          <w:sz w:val="28"/>
          <w:szCs w:val="24"/>
        </w:rPr>
      </w:pPr>
    </w:p>
    <w:p w:rsidR="00FF10E1" w:rsidRDefault="00FF10E1" w:rsidP="0019511E">
      <w:pPr>
        <w:rPr>
          <w:rFonts w:asciiTheme="minorHAnsi" w:hAnsiTheme="minorHAnsi"/>
          <w:b/>
          <w:sz w:val="28"/>
          <w:szCs w:val="24"/>
        </w:rPr>
      </w:pPr>
    </w:p>
    <w:p w:rsidR="00FF10E1" w:rsidRDefault="00FF10E1" w:rsidP="0019511E">
      <w:pPr>
        <w:rPr>
          <w:rFonts w:asciiTheme="minorHAnsi" w:hAnsiTheme="minorHAnsi"/>
          <w:b/>
          <w:sz w:val="28"/>
          <w:szCs w:val="24"/>
        </w:rPr>
      </w:pPr>
    </w:p>
    <w:p w:rsidR="00FF10E1" w:rsidRDefault="00FF10E1" w:rsidP="0019511E">
      <w:pPr>
        <w:rPr>
          <w:rFonts w:asciiTheme="minorHAnsi" w:hAnsiTheme="minorHAnsi"/>
          <w:b/>
          <w:sz w:val="28"/>
          <w:szCs w:val="24"/>
        </w:rPr>
      </w:pPr>
    </w:p>
    <w:p w:rsidR="00FF10E1" w:rsidRDefault="00FF10E1" w:rsidP="0019511E">
      <w:pPr>
        <w:rPr>
          <w:rFonts w:asciiTheme="minorHAnsi" w:hAnsiTheme="minorHAnsi"/>
          <w:b/>
          <w:sz w:val="28"/>
          <w:szCs w:val="24"/>
        </w:rPr>
      </w:pPr>
    </w:p>
    <w:p w:rsidR="00FF10E1" w:rsidRDefault="00FF10E1" w:rsidP="0019511E">
      <w:pPr>
        <w:rPr>
          <w:rFonts w:asciiTheme="minorHAnsi" w:hAnsiTheme="minorHAnsi"/>
          <w:b/>
          <w:sz w:val="28"/>
          <w:szCs w:val="24"/>
        </w:rPr>
      </w:pPr>
    </w:p>
    <w:p w:rsidR="00477847" w:rsidRDefault="00477847" w:rsidP="0019511E">
      <w:pPr>
        <w:rPr>
          <w:rFonts w:asciiTheme="minorHAnsi" w:hAnsiTheme="minorHAnsi"/>
          <w:b/>
          <w:sz w:val="28"/>
          <w:szCs w:val="24"/>
        </w:rPr>
      </w:pPr>
      <w:r w:rsidRPr="00115EC9">
        <w:rPr>
          <w:rFonts w:asciiTheme="minorHAnsi" w:hAnsiTheme="minorHAnsi"/>
          <w:b/>
          <w:sz w:val="28"/>
          <w:szCs w:val="24"/>
        </w:rPr>
        <w:lastRenderedPageBreak/>
        <w:t>Meeting Alaska’s High Demand for Jobs in Healthcare through Dietetics &amp; Nutrition Education</w:t>
      </w:r>
      <w:r w:rsidR="005A1639">
        <w:rPr>
          <w:rFonts w:asciiTheme="minorHAnsi" w:hAnsiTheme="minorHAnsi"/>
          <w:b/>
          <w:sz w:val="28"/>
          <w:szCs w:val="24"/>
        </w:rPr>
        <w:t>,</w:t>
      </w:r>
      <w:r w:rsidRPr="00115EC9">
        <w:rPr>
          <w:rFonts w:asciiTheme="minorHAnsi" w:hAnsiTheme="minorHAnsi"/>
          <w:b/>
          <w:sz w:val="28"/>
          <w:szCs w:val="24"/>
        </w:rPr>
        <w:t xml:space="preserve"> </w:t>
      </w:r>
      <w:r w:rsidR="00AD216E" w:rsidRPr="00115EC9">
        <w:rPr>
          <w:rFonts w:asciiTheme="minorHAnsi" w:hAnsiTheme="minorHAnsi"/>
          <w:b/>
          <w:sz w:val="28"/>
          <w:szCs w:val="24"/>
        </w:rPr>
        <w:t>$139.5</w:t>
      </w:r>
      <w:r w:rsidR="00FE4FAC" w:rsidRPr="00115EC9">
        <w:rPr>
          <w:rFonts w:asciiTheme="minorHAnsi" w:hAnsiTheme="minorHAnsi"/>
          <w:b/>
          <w:sz w:val="28"/>
          <w:szCs w:val="24"/>
        </w:rPr>
        <w:t xml:space="preserve"> GF</w:t>
      </w:r>
      <w:r w:rsidR="007D69A2">
        <w:rPr>
          <w:rFonts w:asciiTheme="minorHAnsi" w:hAnsiTheme="minorHAnsi"/>
          <w:b/>
          <w:sz w:val="28"/>
          <w:szCs w:val="24"/>
        </w:rPr>
        <w:t xml:space="preserve"> </w:t>
      </w:r>
      <w:r w:rsidR="00FE4FAC" w:rsidRPr="00115EC9">
        <w:rPr>
          <w:rFonts w:asciiTheme="minorHAnsi" w:hAnsiTheme="minorHAnsi"/>
          <w:b/>
          <w:sz w:val="28"/>
          <w:szCs w:val="24"/>
        </w:rPr>
        <w:t xml:space="preserve"> </w:t>
      </w:r>
    </w:p>
    <w:p w:rsidR="001B5958" w:rsidRPr="00EE2807" w:rsidRDefault="001B5958" w:rsidP="001B5958">
      <w:pPr>
        <w:rPr>
          <w:rFonts w:asciiTheme="minorHAnsi" w:hAnsiTheme="minorHAnsi"/>
          <w:b/>
          <w:sz w:val="24"/>
          <w:szCs w:val="24"/>
        </w:rPr>
      </w:pPr>
      <w:r w:rsidRPr="00EE2807">
        <w:rPr>
          <w:rFonts w:asciiTheme="minorHAnsi" w:hAnsiTheme="minorHAnsi"/>
          <w:b/>
          <w:sz w:val="24"/>
          <w:szCs w:val="24"/>
        </w:rPr>
        <w:t>Shap</w:t>
      </w:r>
      <w:r w:rsidR="004003CD" w:rsidRPr="00EE2807">
        <w:rPr>
          <w:rFonts w:asciiTheme="minorHAnsi" w:hAnsiTheme="minorHAnsi"/>
          <w:b/>
          <w:sz w:val="24"/>
          <w:szCs w:val="24"/>
        </w:rPr>
        <w:t>i</w:t>
      </w:r>
      <w:r w:rsidRPr="00EE2807">
        <w:rPr>
          <w:rFonts w:asciiTheme="minorHAnsi" w:hAnsiTheme="minorHAnsi"/>
          <w:b/>
          <w:sz w:val="24"/>
          <w:szCs w:val="24"/>
        </w:rPr>
        <w:t>ng Alaska’s Future Theme/Issue: 1D/F, 3A</w:t>
      </w:r>
    </w:p>
    <w:p w:rsidR="001B5958" w:rsidRPr="00EE2807" w:rsidRDefault="001B5958" w:rsidP="001B5958">
      <w:pPr>
        <w:rPr>
          <w:rFonts w:asciiTheme="minorHAnsi" w:hAnsiTheme="minorHAnsi"/>
          <w:b/>
          <w:sz w:val="24"/>
          <w:szCs w:val="24"/>
        </w:rPr>
      </w:pPr>
      <w:r w:rsidRPr="00EE2807">
        <w:rPr>
          <w:rFonts w:asciiTheme="minorHAnsi" w:hAnsiTheme="minorHAnsi"/>
          <w:b/>
          <w:sz w:val="24"/>
          <w:szCs w:val="24"/>
        </w:rPr>
        <w:t>Positions: 1 FTE faculty</w:t>
      </w:r>
    </w:p>
    <w:p w:rsidR="00565EBF" w:rsidRPr="00565EBF" w:rsidRDefault="002C5471" w:rsidP="0019511E">
      <w:pPr>
        <w:rPr>
          <w:rFonts w:asciiTheme="minorHAnsi" w:hAnsiTheme="minorHAnsi"/>
          <w:b/>
          <w:sz w:val="24"/>
          <w:szCs w:val="24"/>
        </w:rPr>
      </w:pPr>
      <w:r>
        <w:rPr>
          <w:rFonts w:asciiTheme="minorHAnsi" w:hAnsiTheme="minorHAnsi"/>
          <w:b/>
          <w:sz w:val="24"/>
          <w:szCs w:val="24"/>
        </w:rPr>
        <w:t>TVEP: In FY16, t</w:t>
      </w:r>
      <w:r w:rsidR="00565EBF" w:rsidRPr="00565EBF">
        <w:rPr>
          <w:rFonts w:asciiTheme="minorHAnsi" w:hAnsiTheme="minorHAnsi"/>
          <w:b/>
          <w:sz w:val="24"/>
          <w:szCs w:val="24"/>
        </w:rPr>
        <w:t xml:space="preserve">his </w:t>
      </w:r>
      <w:r w:rsidR="006422BE">
        <w:rPr>
          <w:rFonts w:asciiTheme="minorHAnsi" w:hAnsiTheme="minorHAnsi"/>
          <w:b/>
          <w:sz w:val="24"/>
          <w:szCs w:val="24"/>
        </w:rPr>
        <w:t>program will be</w:t>
      </w:r>
      <w:r w:rsidR="00565EBF" w:rsidRPr="00565EBF">
        <w:rPr>
          <w:rFonts w:asciiTheme="minorHAnsi" w:hAnsiTheme="minorHAnsi"/>
          <w:b/>
          <w:sz w:val="24"/>
          <w:szCs w:val="24"/>
        </w:rPr>
        <w:t xml:space="preserve"> in year 7 of TVEP funding; it is </w:t>
      </w:r>
      <w:r w:rsidR="00565EBF">
        <w:rPr>
          <w:rFonts w:asciiTheme="minorHAnsi" w:hAnsiTheme="minorHAnsi"/>
          <w:b/>
          <w:sz w:val="24"/>
          <w:szCs w:val="24"/>
        </w:rPr>
        <w:t xml:space="preserve">a priority for transfer to a </w:t>
      </w:r>
      <w:r>
        <w:rPr>
          <w:rFonts w:asciiTheme="minorHAnsi" w:hAnsiTheme="minorHAnsi"/>
          <w:b/>
          <w:sz w:val="24"/>
          <w:szCs w:val="24"/>
        </w:rPr>
        <w:t xml:space="preserve">permanent funding source. </w:t>
      </w:r>
      <w:r w:rsidR="00565EBF">
        <w:rPr>
          <w:rFonts w:asciiTheme="minorHAnsi" w:hAnsiTheme="minorHAnsi"/>
          <w:b/>
          <w:sz w:val="24"/>
          <w:szCs w:val="24"/>
        </w:rPr>
        <w:t xml:space="preserve"> </w:t>
      </w:r>
      <w:r w:rsidR="00565EBF" w:rsidRPr="00565EBF">
        <w:rPr>
          <w:rFonts w:asciiTheme="minorHAnsi" w:hAnsiTheme="minorHAnsi"/>
          <w:b/>
          <w:sz w:val="24"/>
          <w:szCs w:val="24"/>
        </w:rPr>
        <w:t xml:space="preserve">  </w:t>
      </w:r>
    </w:p>
    <w:p w:rsidR="00E0349E" w:rsidRPr="00E0349E" w:rsidRDefault="00E0349E" w:rsidP="00E0349E">
      <w:pPr>
        <w:rPr>
          <w:sz w:val="24"/>
          <w:szCs w:val="24"/>
        </w:rPr>
      </w:pPr>
      <w:r w:rsidRPr="00E0349E">
        <w:rPr>
          <w:sz w:val="24"/>
          <w:szCs w:val="24"/>
        </w:rPr>
        <w:t xml:space="preserve">The University of Alaska offers Alaskans the only in-state opportunity to pursue a Dietetics and Nutrition education track that leads to a Registered Dietitian (RD).  In FY10, TVEP funding was secured to develop a Dietetics and Nutrition program at UAA, which has since proven to be a sound investment of this start-up funding.  UAA now has over 125 Dietetics or Nutrition majors and these programs not only support demand for Registered Dietitians, but also deliver required nutrition courses to support a variety of programs, including Nursing, Early Childhood Development, Public Health, Dental Hygiene, Medical Laboratory Technology, Health Physical Education Recreation, and Hospitality Restaurant Management.  According to the Alaska Dietary Association, there will be a continued need for up to 24 Registered Dietitians per year in Alaska.  Additionally, the State of Alaska Department of Labor and Workforce Development anticipates steady growth of employment in dietetics, while the state’s healthcare industry continues to identify demand for registered dietitians.  To continue to meet the industry demand and accommodate expanding program enrollments and healthcare majors across the system, it is a top priority to fund a full-time faculty for this program with general funding.  </w:t>
      </w:r>
    </w:p>
    <w:p w:rsidR="00477847" w:rsidRPr="008A6D07" w:rsidRDefault="00477847" w:rsidP="0019511E">
      <w:pPr>
        <w:rPr>
          <w:rFonts w:asciiTheme="minorHAnsi" w:hAnsiTheme="minorHAnsi"/>
          <w:sz w:val="24"/>
          <w:szCs w:val="24"/>
        </w:rPr>
      </w:pPr>
    </w:p>
    <w:p w:rsidR="008A6D07" w:rsidRDefault="008A6D07" w:rsidP="0019511E">
      <w:pPr>
        <w:rPr>
          <w:rFonts w:asciiTheme="minorHAnsi" w:hAnsiTheme="minorHAnsi"/>
          <w:b/>
          <w:sz w:val="28"/>
          <w:szCs w:val="28"/>
        </w:rPr>
      </w:pPr>
      <w:r w:rsidRPr="00115EC9">
        <w:rPr>
          <w:rFonts w:asciiTheme="minorHAnsi" w:hAnsiTheme="minorHAnsi"/>
          <w:b/>
          <w:sz w:val="28"/>
          <w:szCs w:val="28"/>
        </w:rPr>
        <w:t>Diagnostic Medical Sonography</w:t>
      </w:r>
      <w:proofErr w:type="gramStart"/>
      <w:r w:rsidR="00097FAA">
        <w:rPr>
          <w:rFonts w:asciiTheme="minorHAnsi" w:hAnsiTheme="minorHAnsi"/>
          <w:b/>
          <w:sz w:val="28"/>
          <w:szCs w:val="28"/>
        </w:rPr>
        <w:t>,</w:t>
      </w:r>
      <w:r w:rsidRPr="00115EC9">
        <w:rPr>
          <w:rFonts w:asciiTheme="minorHAnsi" w:hAnsiTheme="minorHAnsi"/>
          <w:b/>
          <w:sz w:val="28"/>
          <w:szCs w:val="28"/>
        </w:rPr>
        <w:t xml:space="preserve">  $</w:t>
      </w:r>
      <w:proofErr w:type="gramEnd"/>
      <w:r w:rsidRPr="00115EC9">
        <w:rPr>
          <w:rFonts w:asciiTheme="minorHAnsi" w:hAnsiTheme="minorHAnsi"/>
          <w:b/>
          <w:sz w:val="28"/>
          <w:szCs w:val="28"/>
        </w:rPr>
        <w:t>121.5 GF</w:t>
      </w:r>
    </w:p>
    <w:p w:rsidR="00E453EA" w:rsidRPr="0092089F" w:rsidRDefault="00E453EA" w:rsidP="00E453EA">
      <w:pPr>
        <w:rPr>
          <w:rFonts w:asciiTheme="minorHAnsi" w:hAnsiTheme="minorHAnsi"/>
          <w:b/>
          <w:sz w:val="24"/>
          <w:szCs w:val="24"/>
        </w:rPr>
      </w:pPr>
      <w:r w:rsidRPr="0092089F">
        <w:rPr>
          <w:rFonts w:asciiTheme="minorHAnsi" w:hAnsiTheme="minorHAnsi"/>
          <w:b/>
          <w:sz w:val="24"/>
          <w:szCs w:val="24"/>
        </w:rPr>
        <w:t xml:space="preserve">Shaping Alaska’s Future Theme/Issue: 1D, 3A </w:t>
      </w:r>
    </w:p>
    <w:p w:rsidR="00E453EA" w:rsidRPr="0092089F" w:rsidRDefault="00E453EA" w:rsidP="00E453EA">
      <w:pPr>
        <w:rPr>
          <w:rFonts w:asciiTheme="minorHAnsi" w:hAnsiTheme="minorHAnsi"/>
          <w:b/>
          <w:sz w:val="24"/>
          <w:szCs w:val="24"/>
        </w:rPr>
      </w:pPr>
      <w:r w:rsidRPr="0092089F">
        <w:rPr>
          <w:rFonts w:asciiTheme="minorHAnsi" w:hAnsiTheme="minorHAnsi"/>
          <w:b/>
          <w:sz w:val="24"/>
          <w:szCs w:val="24"/>
        </w:rPr>
        <w:t>Positions: 1.5 FTE faculty</w:t>
      </w:r>
    </w:p>
    <w:p w:rsidR="0092138F" w:rsidRDefault="0092138F" w:rsidP="00E453EA">
      <w:pPr>
        <w:rPr>
          <w:rFonts w:asciiTheme="minorHAnsi" w:hAnsiTheme="minorHAnsi"/>
          <w:b/>
          <w:sz w:val="24"/>
          <w:szCs w:val="24"/>
        </w:rPr>
      </w:pPr>
      <w:r w:rsidRPr="0092089F">
        <w:rPr>
          <w:rFonts w:asciiTheme="minorHAnsi" w:hAnsiTheme="minorHAnsi"/>
          <w:b/>
          <w:sz w:val="24"/>
          <w:szCs w:val="24"/>
        </w:rPr>
        <w:t xml:space="preserve">New Degree: AAS Diagnostic Medical Sonography (BOR </w:t>
      </w:r>
      <w:r w:rsidR="0092089F" w:rsidRPr="0092089F">
        <w:rPr>
          <w:rFonts w:asciiTheme="minorHAnsi" w:hAnsiTheme="minorHAnsi"/>
          <w:b/>
          <w:sz w:val="24"/>
          <w:szCs w:val="24"/>
        </w:rPr>
        <w:t xml:space="preserve">approval </w:t>
      </w:r>
      <w:r w:rsidRPr="0092089F">
        <w:rPr>
          <w:rFonts w:asciiTheme="minorHAnsi" w:hAnsiTheme="minorHAnsi"/>
          <w:b/>
          <w:sz w:val="24"/>
          <w:szCs w:val="24"/>
        </w:rPr>
        <w:t>2012)</w:t>
      </w:r>
    </w:p>
    <w:p w:rsidR="002C5471" w:rsidRDefault="002C5471" w:rsidP="00E453EA">
      <w:pPr>
        <w:rPr>
          <w:rFonts w:asciiTheme="minorHAnsi" w:hAnsiTheme="minorHAnsi"/>
          <w:b/>
          <w:sz w:val="24"/>
          <w:szCs w:val="24"/>
        </w:rPr>
      </w:pPr>
      <w:r>
        <w:rPr>
          <w:rFonts w:asciiTheme="minorHAnsi" w:hAnsiTheme="minorHAnsi"/>
          <w:b/>
          <w:sz w:val="24"/>
          <w:szCs w:val="24"/>
        </w:rPr>
        <w:t>TVEP: In FY16, t</w:t>
      </w:r>
      <w:r w:rsidR="006422BE">
        <w:rPr>
          <w:rFonts w:asciiTheme="minorHAnsi" w:hAnsiTheme="minorHAnsi"/>
          <w:b/>
          <w:sz w:val="24"/>
          <w:szCs w:val="24"/>
        </w:rPr>
        <w:t xml:space="preserve">his </w:t>
      </w:r>
      <w:r w:rsidRPr="00565EBF">
        <w:rPr>
          <w:rFonts w:asciiTheme="minorHAnsi" w:hAnsiTheme="minorHAnsi"/>
          <w:b/>
          <w:sz w:val="24"/>
          <w:szCs w:val="24"/>
        </w:rPr>
        <w:t>program will be in</w:t>
      </w:r>
      <w:r>
        <w:rPr>
          <w:rFonts w:asciiTheme="minorHAnsi" w:hAnsiTheme="minorHAnsi"/>
          <w:b/>
          <w:sz w:val="24"/>
          <w:szCs w:val="24"/>
        </w:rPr>
        <w:t xml:space="preserve"> year 6</w:t>
      </w:r>
      <w:r w:rsidRPr="00565EBF">
        <w:rPr>
          <w:rFonts w:asciiTheme="minorHAnsi" w:hAnsiTheme="minorHAnsi"/>
          <w:b/>
          <w:sz w:val="24"/>
          <w:szCs w:val="24"/>
        </w:rPr>
        <w:t xml:space="preserve"> of TVEP funding; it is </w:t>
      </w:r>
      <w:r>
        <w:rPr>
          <w:rFonts w:asciiTheme="minorHAnsi" w:hAnsiTheme="minorHAnsi"/>
          <w:b/>
          <w:sz w:val="24"/>
          <w:szCs w:val="24"/>
        </w:rPr>
        <w:t xml:space="preserve">a priority for transfer to a permanent funding source.  </w:t>
      </w:r>
      <w:r w:rsidRPr="00565EBF">
        <w:rPr>
          <w:rFonts w:asciiTheme="minorHAnsi" w:hAnsiTheme="minorHAnsi"/>
          <w:b/>
          <w:sz w:val="24"/>
          <w:szCs w:val="24"/>
        </w:rPr>
        <w:t xml:space="preserve">  </w:t>
      </w:r>
    </w:p>
    <w:p w:rsidR="008A6D07" w:rsidRPr="008A6D07" w:rsidRDefault="008A6D07" w:rsidP="0019511E">
      <w:pPr>
        <w:pStyle w:val="NoSpacing"/>
        <w:rPr>
          <w:sz w:val="24"/>
          <w:szCs w:val="24"/>
        </w:rPr>
      </w:pPr>
      <w:r w:rsidRPr="008A6D07">
        <w:rPr>
          <w:sz w:val="24"/>
          <w:szCs w:val="24"/>
        </w:rPr>
        <w:t xml:space="preserve">Diagnostic Medical Sonography (DMS), also referred to as ultrasound, is a diagnostic medical procedure that uses high frequency sound waves to produce dynamic visual images of organs, tissues, or blood flow inside the body. </w:t>
      </w:r>
    </w:p>
    <w:p w:rsidR="008A6D07" w:rsidRPr="00CE135D" w:rsidRDefault="008A6D07" w:rsidP="0019511E">
      <w:pPr>
        <w:pStyle w:val="NoSpacing"/>
        <w:rPr>
          <w:sz w:val="24"/>
          <w:szCs w:val="24"/>
        </w:rPr>
      </w:pPr>
    </w:p>
    <w:p w:rsidR="008A6D07" w:rsidRPr="006422BE" w:rsidRDefault="008A6D07" w:rsidP="006422BE">
      <w:pPr>
        <w:rPr>
          <w:color w:val="000000" w:themeColor="text1"/>
          <w:sz w:val="24"/>
          <w:szCs w:val="24"/>
        </w:rPr>
      </w:pPr>
      <w:r w:rsidRPr="00CE135D">
        <w:rPr>
          <w:rFonts w:asciiTheme="minorHAnsi" w:hAnsiTheme="minorHAnsi"/>
          <w:sz w:val="24"/>
          <w:szCs w:val="24"/>
        </w:rPr>
        <w:t xml:space="preserve">In February 2008 the UAA Advisory Committee for Medical Imaging Sciences met and discussed the need for a DMS program within the state.  </w:t>
      </w:r>
      <w:r w:rsidRPr="00CE135D">
        <w:rPr>
          <w:rFonts w:asciiTheme="minorHAnsi" w:eastAsia="Calibri" w:hAnsiTheme="minorHAnsi"/>
          <w:sz w:val="24"/>
          <w:szCs w:val="24"/>
        </w:rPr>
        <w:t xml:space="preserve">The US DOL Occupational Outlook projects DMS at a 44% increase in employment for the timeframe 2010-2020; average growth rate during this time for all occupations is 14%.  </w:t>
      </w:r>
      <w:r w:rsidRPr="00CE135D">
        <w:rPr>
          <w:rFonts w:asciiTheme="minorHAnsi" w:hAnsiTheme="minorHAnsi"/>
          <w:sz w:val="24"/>
          <w:szCs w:val="24"/>
        </w:rPr>
        <w:t xml:space="preserve">The advisory committee identified the need for a DMS program in Alaska as a high priority, and the </w:t>
      </w:r>
      <w:r w:rsidRPr="00CE135D">
        <w:rPr>
          <w:rFonts w:asciiTheme="minorHAnsi" w:hAnsiTheme="minorHAnsi"/>
          <w:i/>
          <w:sz w:val="24"/>
          <w:szCs w:val="24"/>
        </w:rPr>
        <w:t>2009 Alaska Health Workforce Vacancy Study</w:t>
      </w:r>
      <w:r w:rsidRPr="00CE135D">
        <w:rPr>
          <w:rFonts w:asciiTheme="minorHAnsi" w:hAnsiTheme="minorHAnsi"/>
          <w:sz w:val="24"/>
          <w:szCs w:val="24"/>
        </w:rPr>
        <w:t xml:space="preserve"> also reported a 14% vacancy rate for ultra-sonographers in Alaska hospitals</w:t>
      </w:r>
      <w:r w:rsidRPr="006422BE">
        <w:rPr>
          <w:rFonts w:asciiTheme="minorHAnsi" w:hAnsiTheme="minorHAnsi"/>
          <w:color w:val="000000" w:themeColor="text1"/>
          <w:sz w:val="24"/>
          <w:szCs w:val="24"/>
        </w:rPr>
        <w:t xml:space="preserve">.  </w:t>
      </w:r>
      <w:r w:rsidR="006422BE" w:rsidRPr="006422BE">
        <w:rPr>
          <w:color w:val="000000" w:themeColor="text1"/>
          <w:sz w:val="24"/>
          <w:szCs w:val="24"/>
        </w:rPr>
        <w:t xml:space="preserve">Estimated vacancy rates for ultra-sonographer positions were far higher for the rural respondents (20%) than urban (12%), with a 75% vacancy rate reported in Southeast Alaska.  </w:t>
      </w:r>
    </w:p>
    <w:p w:rsidR="008A6D07" w:rsidRPr="00CE135D" w:rsidRDefault="008A6D07" w:rsidP="0019511E">
      <w:pPr>
        <w:rPr>
          <w:rFonts w:asciiTheme="minorHAnsi" w:hAnsiTheme="minorHAnsi"/>
          <w:sz w:val="24"/>
          <w:szCs w:val="24"/>
        </w:rPr>
      </w:pPr>
      <w:r w:rsidRPr="00CE135D">
        <w:rPr>
          <w:rFonts w:asciiTheme="minorHAnsi" w:hAnsiTheme="minorHAnsi"/>
          <w:sz w:val="24"/>
          <w:szCs w:val="24"/>
        </w:rPr>
        <w:t xml:space="preserve">Supporting </w:t>
      </w:r>
      <w:r w:rsidRPr="00CE135D">
        <w:rPr>
          <w:rFonts w:asciiTheme="minorHAnsi" w:hAnsiTheme="minorHAnsi"/>
          <w:bCs/>
          <w:sz w:val="24"/>
          <w:szCs w:val="24"/>
        </w:rPr>
        <w:t xml:space="preserve">‘Shaping Alaska’s Future’ theme 3: “Productive Partnerships with Public Entities and Private Industries’,  </w:t>
      </w:r>
      <w:r w:rsidRPr="00CE135D">
        <w:rPr>
          <w:rFonts w:asciiTheme="minorHAnsi" w:hAnsiTheme="minorHAnsi"/>
          <w:sz w:val="24"/>
          <w:szCs w:val="24"/>
        </w:rPr>
        <w:t>the DMS directly responds to the university’s health care industry partners’ request, specifically the UAA Medical Imaging Sciences Advisory Board; it addresses the mutual goal of UA and the health care industry to “grow its own” healthcare workforce. Prior to the implementation of this program, there were no ultrasound programs available in the state of Alaska; students had to travel to the lower 48 for training.</w:t>
      </w:r>
    </w:p>
    <w:p w:rsidR="008A6D07" w:rsidRPr="00CE135D" w:rsidRDefault="008A6D07" w:rsidP="0019511E">
      <w:pPr>
        <w:rPr>
          <w:rFonts w:asciiTheme="minorHAnsi" w:hAnsiTheme="minorHAnsi"/>
          <w:sz w:val="24"/>
          <w:szCs w:val="24"/>
        </w:rPr>
      </w:pPr>
      <w:r w:rsidRPr="00CE135D">
        <w:rPr>
          <w:rFonts w:asciiTheme="minorHAnsi" w:hAnsiTheme="minorHAnsi"/>
          <w:sz w:val="24"/>
          <w:szCs w:val="24"/>
        </w:rPr>
        <w:lastRenderedPageBreak/>
        <w:t xml:space="preserve">The DMS program was approved by the Board of Regents in April 2012, and received approval by Northwest Commission in June 2012, with anticipated graduation of the first cohort in August 2014.  Based on the clinical rotation site capacity, the DMS program admits an 8 student cohort each fall, with each student completing over 1600 supervised hours in a clinical site.  The DMS AAS program prepares entry-level workers in a high demand area, health care. The program success is measured by the number of degrees awarded; as well as the number of graduates successfully completing the national registry exam, and job placement for these graduates.   </w:t>
      </w:r>
    </w:p>
    <w:p w:rsidR="008A6D07" w:rsidRPr="00CE135D" w:rsidRDefault="008A6D07" w:rsidP="0019511E">
      <w:pPr>
        <w:rPr>
          <w:rFonts w:asciiTheme="minorHAnsi" w:hAnsiTheme="minorHAnsi"/>
          <w:sz w:val="24"/>
          <w:szCs w:val="24"/>
        </w:rPr>
      </w:pPr>
    </w:p>
    <w:p w:rsidR="00686DE8" w:rsidRDefault="008A6D07" w:rsidP="0019511E">
      <w:pPr>
        <w:rPr>
          <w:rFonts w:asciiTheme="minorHAnsi" w:hAnsiTheme="minorHAnsi"/>
          <w:b/>
          <w:sz w:val="28"/>
          <w:szCs w:val="28"/>
        </w:rPr>
      </w:pPr>
      <w:r w:rsidRPr="00115EC9">
        <w:rPr>
          <w:rFonts w:asciiTheme="minorHAnsi" w:hAnsiTheme="minorHAnsi"/>
          <w:b/>
          <w:sz w:val="28"/>
          <w:szCs w:val="28"/>
        </w:rPr>
        <w:t>Expanded Dental Programs and Functions</w:t>
      </w:r>
      <w:r w:rsidR="00097FAA">
        <w:rPr>
          <w:rFonts w:asciiTheme="minorHAnsi" w:hAnsiTheme="minorHAnsi"/>
          <w:b/>
          <w:sz w:val="28"/>
          <w:szCs w:val="28"/>
        </w:rPr>
        <w:t>,</w:t>
      </w:r>
      <w:r w:rsidRPr="00115EC9">
        <w:rPr>
          <w:rFonts w:asciiTheme="minorHAnsi" w:hAnsiTheme="minorHAnsi"/>
          <w:b/>
          <w:sz w:val="28"/>
          <w:szCs w:val="28"/>
        </w:rPr>
        <w:t xml:space="preserve"> $77.0</w:t>
      </w:r>
      <w:r w:rsidR="000D4B11" w:rsidRPr="00115EC9">
        <w:rPr>
          <w:rFonts w:asciiTheme="minorHAnsi" w:hAnsiTheme="minorHAnsi"/>
          <w:b/>
          <w:sz w:val="28"/>
          <w:szCs w:val="28"/>
        </w:rPr>
        <w:t xml:space="preserve"> GF</w:t>
      </w:r>
    </w:p>
    <w:p w:rsidR="00686DE8" w:rsidRPr="0092089F" w:rsidRDefault="00686DE8" w:rsidP="00686DE8">
      <w:pPr>
        <w:rPr>
          <w:rFonts w:asciiTheme="minorHAnsi" w:hAnsiTheme="minorHAnsi"/>
          <w:b/>
          <w:sz w:val="24"/>
          <w:szCs w:val="24"/>
        </w:rPr>
      </w:pPr>
      <w:r w:rsidRPr="0092089F">
        <w:rPr>
          <w:rFonts w:asciiTheme="minorHAnsi" w:hAnsiTheme="minorHAnsi"/>
          <w:b/>
          <w:sz w:val="24"/>
          <w:szCs w:val="24"/>
        </w:rPr>
        <w:t xml:space="preserve">Shaping Alaska’s Future Theme/Issue: 3A </w:t>
      </w:r>
    </w:p>
    <w:p w:rsidR="00686DE8" w:rsidRDefault="00686DE8" w:rsidP="00686DE8">
      <w:pPr>
        <w:rPr>
          <w:rFonts w:asciiTheme="minorHAnsi" w:hAnsiTheme="minorHAnsi"/>
          <w:b/>
          <w:sz w:val="24"/>
          <w:szCs w:val="24"/>
        </w:rPr>
      </w:pPr>
      <w:r w:rsidRPr="0092089F">
        <w:rPr>
          <w:rFonts w:asciiTheme="minorHAnsi" w:hAnsiTheme="minorHAnsi"/>
          <w:b/>
          <w:sz w:val="24"/>
          <w:szCs w:val="24"/>
        </w:rPr>
        <w:t>Positions: .75 FTE faculty</w:t>
      </w:r>
    </w:p>
    <w:p w:rsidR="002C5471" w:rsidRPr="0092089F" w:rsidRDefault="002C5471" w:rsidP="00686DE8">
      <w:pPr>
        <w:rPr>
          <w:rFonts w:asciiTheme="minorHAnsi" w:hAnsiTheme="minorHAnsi"/>
          <w:b/>
          <w:sz w:val="24"/>
          <w:szCs w:val="24"/>
        </w:rPr>
      </w:pPr>
      <w:r>
        <w:rPr>
          <w:rFonts w:asciiTheme="minorHAnsi" w:hAnsiTheme="minorHAnsi"/>
          <w:b/>
          <w:sz w:val="24"/>
          <w:szCs w:val="24"/>
        </w:rPr>
        <w:t>TVEP: In FY16, t</w:t>
      </w:r>
      <w:r w:rsidRPr="00565EBF">
        <w:rPr>
          <w:rFonts w:asciiTheme="minorHAnsi" w:hAnsiTheme="minorHAnsi"/>
          <w:b/>
          <w:sz w:val="24"/>
          <w:szCs w:val="24"/>
        </w:rPr>
        <w:t>his program will be in</w:t>
      </w:r>
      <w:r>
        <w:rPr>
          <w:rFonts w:asciiTheme="minorHAnsi" w:hAnsiTheme="minorHAnsi"/>
          <w:b/>
          <w:sz w:val="24"/>
          <w:szCs w:val="24"/>
        </w:rPr>
        <w:t xml:space="preserve"> year 6</w:t>
      </w:r>
      <w:r w:rsidRPr="00565EBF">
        <w:rPr>
          <w:rFonts w:asciiTheme="minorHAnsi" w:hAnsiTheme="minorHAnsi"/>
          <w:b/>
          <w:sz w:val="24"/>
          <w:szCs w:val="24"/>
        </w:rPr>
        <w:t xml:space="preserve"> of TVEP funding; it is </w:t>
      </w:r>
      <w:r>
        <w:rPr>
          <w:rFonts w:asciiTheme="minorHAnsi" w:hAnsiTheme="minorHAnsi"/>
          <w:b/>
          <w:sz w:val="24"/>
          <w:szCs w:val="24"/>
        </w:rPr>
        <w:t xml:space="preserve">a priority for transfer to a permanent funding source.  </w:t>
      </w:r>
      <w:r w:rsidRPr="00565EBF">
        <w:rPr>
          <w:rFonts w:asciiTheme="minorHAnsi" w:hAnsiTheme="minorHAnsi"/>
          <w:b/>
          <w:sz w:val="24"/>
          <w:szCs w:val="24"/>
        </w:rPr>
        <w:t xml:space="preserve">  </w:t>
      </w:r>
    </w:p>
    <w:p w:rsidR="008A6D07" w:rsidRPr="0000004F" w:rsidRDefault="0000004F" w:rsidP="0019511E">
      <w:pPr>
        <w:rPr>
          <w:b/>
          <w:bCs/>
          <w:color w:val="1F497D"/>
          <w:sz w:val="24"/>
          <w:szCs w:val="24"/>
        </w:rPr>
      </w:pPr>
      <w:r w:rsidRPr="006C415E">
        <w:rPr>
          <w:rFonts w:asciiTheme="minorHAnsi" w:hAnsiTheme="minorHAnsi"/>
          <w:sz w:val="24"/>
          <w:szCs w:val="24"/>
        </w:rPr>
        <w:t>In May 2008, the State of Alaska Legislature passed new legislation which expanded the scope of practice for dental assistants and dental hygienists to provide restorative functions (fillings) working in collaboration with a dentist.</w:t>
      </w:r>
      <w:r w:rsidRPr="00733D63">
        <w:rPr>
          <w:b/>
          <w:bCs/>
          <w:color w:val="1F497D"/>
          <w:sz w:val="24"/>
          <w:szCs w:val="24"/>
        </w:rPr>
        <w:t xml:space="preserve"> </w:t>
      </w:r>
      <w:r>
        <w:rPr>
          <w:bCs/>
          <w:color w:val="000000" w:themeColor="text1"/>
          <w:sz w:val="24"/>
          <w:szCs w:val="24"/>
        </w:rPr>
        <w:t xml:space="preserve">This funding request supports </w:t>
      </w:r>
      <w:r w:rsidRPr="00733D63">
        <w:rPr>
          <w:bCs/>
          <w:color w:val="000000" w:themeColor="text1"/>
          <w:sz w:val="24"/>
          <w:szCs w:val="24"/>
        </w:rPr>
        <w:t>advanced dental functions which are specifically nee</w:t>
      </w:r>
      <w:r>
        <w:rPr>
          <w:bCs/>
          <w:color w:val="000000" w:themeColor="text1"/>
          <w:sz w:val="24"/>
          <w:szCs w:val="24"/>
        </w:rPr>
        <w:t>ded in rural Alaska where oral </w:t>
      </w:r>
      <w:r w:rsidRPr="00733D63">
        <w:rPr>
          <w:bCs/>
          <w:color w:val="000000" w:themeColor="text1"/>
          <w:sz w:val="24"/>
          <w:szCs w:val="24"/>
        </w:rPr>
        <w:t>health needs are highest.</w:t>
      </w:r>
      <w:r>
        <w:rPr>
          <w:b/>
          <w:bCs/>
          <w:color w:val="1F497D"/>
          <w:sz w:val="24"/>
          <w:szCs w:val="24"/>
        </w:rPr>
        <w:t xml:space="preserve">  </w:t>
      </w:r>
      <w:r>
        <w:rPr>
          <w:bCs/>
          <w:color w:val="000000" w:themeColor="text1"/>
          <w:sz w:val="24"/>
          <w:szCs w:val="24"/>
        </w:rPr>
        <w:t>In a</w:t>
      </w:r>
      <w:r w:rsidRPr="0000004F">
        <w:rPr>
          <w:bCs/>
          <w:color w:val="000000" w:themeColor="text1"/>
          <w:sz w:val="24"/>
          <w:szCs w:val="24"/>
        </w:rPr>
        <w:t>ddition, the</w:t>
      </w:r>
      <w:r w:rsidRPr="0000004F">
        <w:rPr>
          <w:b/>
          <w:bCs/>
          <w:color w:val="000000" w:themeColor="text1"/>
          <w:sz w:val="24"/>
          <w:szCs w:val="24"/>
        </w:rPr>
        <w:t xml:space="preserve"> </w:t>
      </w:r>
      <w:r w:rsidR="008A6D07" w:rsidRPr="006C415E">
        <w:rPr>
          <w:rFonts w:asciiTheme="minorHAnsi" w:hAnsiTheme="minorHAnsi"/>
          <w:sz w:val="24"/>
          <w:szCs w:val="24"/>
        </w:rPr>
        <w:t>Commission on Dental Accreditation (CODA) recently changed program accreditation requ</w:t>
      </w:r>
      <w:r>
        <w:rPr>
          <w:rFonts w:asciiTheme="minorHAnsi" w:hAnsiTheme="minorHAnsi"/>
          <w:sz w:val="24"/>
          <w:szCs w:val="24"/>
        </w:rPr>
        <w:t>irements in the area of student-to-</w:t>
      </w:r>
      <w:r w:rsidR="008A6D07" w:rsidRPr="006C415E">
        <w:rPr>
          <w:rFonts w:asciiTheme="minorHAnsi" w:hAnsiTheme="minorHAnsi"/>
          <w:sz w:val="24"/>
          <w:szCs w:val="24"/>
        </w:rPr>
        <w:t xml:space="preserve">faculty ratio, </w:t>
      </w:r>
      <w:r>
        <w:rPr>
          <w:rFonts w:asciiTheme="minorHAnsi" w:hAnsiTheme="minorHAnsi"/>
          <w:sz w:val="24"/>
          <w:szCs w:val="24"/>
        </w:rPr>
        <w:t xml:space="preserve">decreasing </w:t>
      </w:r>
      <w:r w:rsidR="008A6D07" w:rsidRPr="006C415E">
        <w:rPr>
          <w:rFonts w:asciiTheme="minorHAnsi" w:hAnsiTheme="minorHAnsi"/>
          <w:sz w:val="24"/>
          <w:szCs w:val="24"/>
        </w:rPr>
        <w:t xml:space="preserve">from a 6:1 ratio down to a 5:1 ratio. </w:t>
      </w:r>
      <w:r>
        <w:rPr>
          <w:rFonts w:asciiTheme="minorHAnsi" w:hAnsiTheme="minorHAnsi"/>
          <w:sz w:val="24"/>
          <w:szCs w:val="24"/>
        </w:rPr>
        <w:t xml:space="preserve"> Another factor is the</w:t>
      </w:r>
      <w:r w:rsidR="008A6D07" w:rsidRPr="006C415E">
        <w:rPr>
          <w:rFonts w:asciiTheme="minorHAnsi" w:hAnsiTheme="minorHAnsi"/>
          <w:sz w:val="24"/>
          <w:szCs w:val="24"/>
        </w:rPr>
        <w:t xml:space="preserve"> recent remodel of the Dental Hygiene Clinic, </w:t>
      </w:r>
      <w:r>
        <w:rPr>
          <w:rFonts w:asciiTheme="minorHAnsi" w:hAnsiTheme="minorHAnsi"/>
          <w:sz w:val="24"/>
          <w:szCs w:val="24"/>
        </w:rPr>
        <w:t>which has allowed the program</w:t>
      </w:r>
      <w:r w:rsidR="008A6D07" w:rsidRPr="006C415E">
        <w:rPr>
          <w:rFonts w:asciiTheme="minorHAnsi" w:hAnsiTheme="minorHAnsi"/>
          <w:sz w:val="24"/>
          <w:szCs w:val="24"/>
        </w:rPr>
        <w:t xml:space="preserve"> to increase each student cohort from 12 to 14 students.</w:t>
      </w:r>
    </w:p>
    <w:p w:rsidR="008A6D07" w:rsidRPr="006C415E" w:rsidRDefault="008A6D07" w:rsidP="0019511E">
      <w:pPr>
        <w:rPr>
          <w:rFonts w:asciiTheme="minorHAnsi" w:hAnsiTheme="minorHAnsi"/>
          <w:sz w:val="24"/>
          <w:szCs w:val="24"/>
        </w:rPr>
      </w:pPr>
    </w:p>
    <w:p w:rsidR="008A6D07" w:rsidRPr="008A6D07" w:rsidRDefault="008A6D07" w:rsidP="0019511E">
      <w:pPr>
        <w:rPr>
          <w:rFonts w:asciiTheme="minorHAnsi" w:hAnsiTheme="minorHAnsi"/>
        </w:rPr>
      </w:pPr>
      <w:r w:rsidRPr="006C415E">
        <w:rPr>
          <w:rFonts w:asciiTheme="minorHAnsi" w:hAnsiTheme="minorHAnsi"/>
          <w:sz w:val="24"/>
          <w:szCs w:val="24"/>
        </w:rPr>
        <w:t xml:space="preserve">The combination </w:t>
      </w:r>
      <w:r w:rsidR="00D51B66">
        <w:rPr>
          <w:rFonts w:asciiTheme="minorHAnsi" w:hAnsiTheme="minorHAnsi"/>
          <w:sz w:val="24"/>
          <w:szCs w:val="24"/>
        </w:rPr>
        <w:t>these factors</w:t>
      </w:r>
      <w:r w:rsidRPr="006C415E">
        <w:rPr>
          <w:rFonts w:asciiTheme="minorHAnsi" w:hAnsiTheme="minorHAnsi"/>
          <w:sz w:val="24"/>
          <w:szCs w:val="24"/>
        </w:rPr>
        <w:t xml:space="preserve">, </w:t>
      </w:r>
      <w:r w:rsidR="00D51B66">
        <w:rPr>
          <w:rFonts w:asciiTheme="minorHAnsi" w:hAnsiTheme="minorHAnsi"/>
          <w:sz w:val="24"/>
          <w:szCs w:val="24"/>
        </w:rPr>
        <w:t xml:space="preserve">including </w:t>
      </w:r>
      <w:r w:rsidRPr="006C415E">
        <w:rPr>
          <w:rFonts w:asciiTheme="minorHAnsi" w:hAnsiTheme="minorHAnsi"/>
          <w:sz w:val="24"/>
          <w:szCs w:val="24"/>
        </w:rPr>
        <w:t>the addition of the articulated BS degree in Dental Hygiene</w:t>
      </w:r>
      <w:r w:rsidR="00B3522E">
        <w:rPr>
          <w:rFonts w:asciiTheme="minorHAnsi" w:hAnsiTheme="minorHAnsi"/>
          <w:sz w:val="24"/>
          <w:szCs w:val="24"/>
        </w:rPr>
        <w:t>,</w:t>
      </w:r>
      <w:r w:rsidR="00D51B66">
        <w:rPr>
          <w:rFonts w:asciiTheme="minorHAnsi" w:hAnsiTheme="minorHAnsi"/>
          <w:sz w:val="24"/>
          <w:szCs w:val="24"/>
        </w:rPr>
        <w:t xml:space="preserve"> </w:t>
      </w:r>
      <w:r w:rsidRPr="006C415E">
        <w:rPr>
          <w:rFonts w:asciiTheme="minorHAnsi" w:hAnsiTheme="minorHAnsi"/>
          <w:sz w:val="24"/>
          <w:szCs w:val="24"/>
        </w:rPr>
        <w:t>all contribute to the need for this .75 FTE faculty position.</w:t>
      </w:r>
      <w:r w:rsidR="00D51B66">
        <w:rPr>
          <w:rFonts w:asciiTheme="minorHAnsi" w:hAnsiTheme="minorHAnsi"/>
          <w:sz w:val="24"/>
          <w:szCs w:val="24"/>
        </w:rPr>
        <w:t xml:space="preserve">  </w:t>
      </w:r>
      <w:r w:rsidRPr="006C415E">
        <w:rPr>
          <w:rFonts w:asciiTheme="minorHAnsi" w:hAnsiTheme="minorHAnsi"/>
          <w:sz w:val="24"/>
          <w:szCs w:val="24"/>
        </w:rPr>
        <w:t xml:space="preserve">In keeping with </w:t>
      </w:r>
      <w:r w:rsidRPr="006C415E">
        <w:rPr>
          <w:rFonts w:asciiTheme="minorHAnsi" w:hAnsiTheme="minorHAnsi"/>
          <w:bCs/>
          <w:sz w:val="24"/>
          <w:szCs w:val="24"/>
        </w:rPr>
        <w:t>‘Shaping Alaska’s Future’ theme 3: “Productive Partnerships with Public Entities and Private Industries’, t</w:t>
      </w:r>
      <w:r w:rsidRPr="006C415E">
        <w:rPr>
          <w:rFonts w:asciiTheme="minorHAnsi" w:hAnsiTheme="minorHAnsi"/>
          <w:sz w:val="24"/>
          <w:szCs w:val="24"/>
        </w:rPr>
        <w:t>he creation of the BS degree, the establishment of the Restorative Functions coursework, and the increase in the AAS-student cohort were all undertaken to attempt to address the need for improved dental health care for the people of Alaska.  The AAS-degree program prepares entry-level professionals who work in dental clinics and offices that provide direct healthcare services to patients. The restorative courses prepare dental assistants and dental hygienists to provide services at an advanced level in an expanded role. The BS Program provides increased employment opportunities available only to bachelor-prepared dental hygienists,</w:t>
      </w:r>
      <w:r w:rsidRPr="008A6D07">
        <w:rPr>
          <w:rFonts w:asciiTheme="minorHAnsi" w:hAnsiTheme="minorHAnsi"/>
        </w:rPr>
        <w:t xml:space="preserve"> and it prepares students for graduate degree programs.</w:t>
      </w:r>
    </w:p>
    <w:p w:rsidR="008A6D07" w:rsidRPr="008A6D07" w:rsidRDefault="008A6D07" w:rsidP="0019511E">
      <w:pPr>
        <w:rPr>
          <w:rFonts w:asciiTheme="minorHAnsi" w:hAnsiTheme="minorHAnsi"/>
          <w:b/>
          <w:color w:val="1F497D"/>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90318" w:rsidRDefault="0009031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93328" w:rsidRPr="00534907" w:rsidRDefault="00793328"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Support State Workforce Development </w:t>
      </w:r>
      <w:r w:rsidR="00623AC4"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Increment</w:t>
      </w:r>
    </w:p>
    <w:p w:rsidR="00793328" w:rsidRDefault="00793328" w:rsidP="00BC50BE">
      <w:pPr>
        <w:pStyle w:val="NoSpacing"/>
        <w:rPr>
          <w:b/>
          <w:sz w:val="24"/>
          <w:szCs w:val="24"/>
        </w:rPr>
      </w:pPr>
    </w:p>
    <w:p w:rsidR="00772B33" w:rsidRDefault="00772B33" w:rsidP="00BC50BE">
      <w:pPr>
        <w:pStyle w:val="NoSpacing"/>
        <w:rPr>
          <w:b/>
          <w:sz w:val="24"/>
          <w:szCs w:val="24"/>
        </w:rPr>
      </w:pPr>
      <w:r w:rsidRPr="00772B33">
        <w:rPr>
          <w:b/>
          <w:sz w:val="28"/>
          <w:szCs w:val="24"/>
        </w:rPr>
        <w:t>SUMMARY</w:t>
      </w:r>
    </w:p>
    <w:p w:rsidR="00772B33" w:rsidRDefault="00772B33" w:rsidP="00BC50BE">
      <w:pPr>
        <w:pStyle w:val="NoSpacing"/>
        <w:rPr>
          <w:b/>
          <w:sz w:val="24"/>
          <w:szCs w:val="24"/>
        </w:rPr>
      </w:pPr>
    </w:p>
    <w:p w:rsidR="00D7014B" w:rsidRPr="00D7014B" w:rsidRDefault="00D7014B" w:rsidP="00D7014B">
      <w:pPr>
        <w:rPr>
          <w:sz w:val="24"/>
        </w:rPr>
      </w:pPr>
      <w:r w:rsidRPr="00D7014B">
        <w:rPr>
          <w:sz w:val="24"/>
        </w:rPr>
        <w:t>The U</w:t>
      </w:r>
      <w:r w:rsidR="00315F6D">
        <w:rPr>
          <w:sz w:val="24"/>
        </w:rPr>
        <w:t>AA Workforce Development increment</w:t>
      </w:r>
      <w:r w:rsidRPr="00D7014B">
        <w:rPr>
          <w:sz w:val="24"/>
        </w:rPr>
        <w:t xml:space="preserve"> focuses on two of Alaska’s highest demand workforces, natural resource development and the maritime industries.  Our undergraduate degree in geological sciences has a proven record of successfully preparing graduates for careers in Alaska’s oil and gas industries.  However, there is now a need to extend that career pathway by preparing geophysicists who will strengthen Alaska’s environmental, oils and gas research and provide these industries with Alaska grown geoscientists.  UAA’s Kodiak College Campus is positioned to address one of the Alaska Maritime Workforce Development Plan’s high priority occupational training need.  This funding will allow Kodiak College to develop, deliver, and coordinate training across the State in the area of vessel maintenance and repair.  </w:t>
      </w:r>
    </w:p>
    <w:p w:rsidR="00772B33" w:rsidRDefault="00772B33" w:rsidP="00BC50BE">
      <w:pPr>
        <w:pStyle w:val="NoSpacing"/>
        <w:rPr>
          <w:b/>
          <w:sz w:val="24"/>
          <w:szCs w:val="24"/>
        </w:rPr>
      </w:pPr>
    </w:p>
    <w:p w:rsidR="00592E94" w:rsidRDefault="00772B33" w:rsidP="00BC50BE">
      <w:pPr>
        <w:widowControl w:val="0"/>
        <w:autoSpaceDE w:val="0"/>
        <w:autoSpaceDN w:val="0"/>
        <w:adjustRightInd w:val="0"/>
        <w:rPr>
          <w:rFonts w:asciiTheme="minorHAnsi" w:hAnsiTheme="minorHAnsi"/>
          <w:b/>
          <w:sz w:val="28"/>
          <w:szCs w:val="24"/>
        </w:rPr>
      </w:pPr>
      <w:r>
        <w:rPr>
          <w:rFonts w:asciiTheme="minorHAnsi" w:hAnsiTheme="minorHAnsi"/>
          <w:b/>
          <w:sz w:val="28"/>
          <w:szCs w:val="24"/>
        </w:rPr>
        <w:t>Tenure-track Faculty P</w:t>
      </w:r>
      <w:r w:rsidR="00C97F72" w:rsidRPr="00115EC9">
        <w:rPr>
          <w:rFonts w:asciiTheme="minorHAnsi" w:hAnsiTheme="minorHAnsi"/>
          <w:b/>
          <w:sz w:val="28"/>
          <w:szCs w:val="24"/>
        </w:rPr>
        <w:t>osition in Geophysics</w:t>
      </w:r>
      <w:r w:rsidR="00097FAA">
        <w:rPr>
          <w:rFonts w:asciiTheme="minorHAnsi" w:hAnsiTheme="minorHAnsi"/>
          <w:b/>
          <w:sz w:val="28"/>
          <w:szCs w:val="24"/>
        </w:rPr>
        <w:t>,</w:t>
      </w:r>
      <w:r w:rsidR="00C267D0" w:rsidRPr="00115EC9">
        <w:rPr>
          <w:rFonts w:asciiTheme="minorHAnsi" w:hAnsiTheme="minorHAnsi"/>
          <w:b/>
          <w:sz w:val="28"/>
          <w:szCs w:val="24"/>
        </w:rPr>
        <w:t xml:space="preserve"> </w:t>
      </w:r>
      <w:r w:rsidR="00C22582" w:rsidRPr="00115EC9">
        <w:rPr>
          <w:rFonts w:asciiTheme="minorHAnsi" w:hAnsiTheme="minorHAnsi"/>
          <w:b/>
          <w:sz w:val="28"/>
          <w:szCs w:val="24"/>
        </w:rPr>
        <w:t>$115.0 GF</w:t>
      </w:r>
      <w:r w:rsidR="007050B4">
        <w:rPr>
          <w:rFonts w:asciiTheme="minorHAnsi" w:hAnsiTheme="minorHAnsi"/>
          <w:b/>
          <w:sz w:val="28"/>
          <w:szCs w:val="24"/>
        </w:rPr>
        <w:t>, $25.0 NGF</w:t>
      </w:r>
    </w:p>
    <w:p w:rsidR="004F338F" w:rsidRPr="00992698" w:rsidRDefault="004F338F" w:rsidP="004F338F">
      <w:pPr>
        <w:rPr>
          <w:rFonts w:asciiTheme="minorHAnsi" w:hAnsiTheme="minorHAnsi"/>
          <w:b/>
          <w:sz w:val="24"/>
          <w:szCs w:val="24"/>
        </w:rPr>
      </w:pPr>
      <w:r w:rsidRPr="00992698">
        <w:rPr>
          <w:rFonts w:asciiTheme="minorHAnsi" w:hAnsiTheme="minorHAnsi"/>
          <w:b/>
          <w:sz w:val="24"/>
          <w:szCs w:val="24"/>
        </w:rPr>
        <w:t xml:space="preserve">Shaping Alaska’s Future Theme/Issue: </w:t>
      </w:r>
      <w:r w:rsidR="00580C84">
        <w:rPr>
          <w:rFonts w:asciiTheme="minorHAnsi" w:hAnsiTheme="minorHAnsi"/>
          <w:b/>
          <w:sz w:val="24"/>
          <w:szCs w:val="24"/>
        </w:rPr>
        <w:t>1D/F, 3A, 4A</w:t>
      </w:r>
    </w:p>
    <w:p w:rsidR="004F338F" w:rsidRPr="00992698" w:rsidRDefault="004F338F" w:rsidP="004F338F">
      <w:pPr>
        <w:rPr>
          <w:rFonts w:asciiTheme="minorHAnsi" w:hAnsiTheme="minorHAnsi"/>
          <w:b/>
          <w:sz w:val="24"/>
          <w:szCs w:val="24"/>
        </w:rPr>
      </w:pPr>
      <w:r w:rsidRPr="00992698">
        <w:rPr>
          <w:rFonts w:asciiTheme="minorHAnsi" w:hAnsiTheme="minorHAnsi"/>
          <w:b/>
          <w:sz w:val="24"/>
          <w:szCs w:val="24"/>
        </w:rPr>
        <w:t xml:space="preserve">Positions: </w:t>
      </w:r>
      <w:r w:rsidR="007845EC">
        <w:rPr>
          <w:rFonts w:asciiTheme="minorHAnsi" w:hAnsiTheme="minorHAnsi"/>
          <w:b/>
          <w:sz w:val="24"/>
          <w:szCs w:val="24"/>
        </w:rPr>
        <w:t>1 FTE faculty</w:t>
      </w:r>
    </w:p>
    <w:p w:rsidR="00C97F72" w:rsidRPr="00573568" w:rsidRDefault="00C97F72" w:rsidP="00BC50BE">
      <w:pPr>
        <w:widowControl w:val="0"/>
        <w:autoSpaceDE w:val="0"/>
        <w:autoSpaceDN w:val="0"/>
        <w:adjustRightInd w:val="0"/>
        <w:rPr>
          <w:rFonts w:asciiTheme="minorHAnsi" w:hAnsiTheme="minorHAnsi"/>
          <w:sz w:val="24"/>
          <w:szCs w:val="24"/>
        </w:rPr>
      </w:pPr>
      <w:r w:rsidRPr="00573568">
        <w:rPr>
          <w:rFonts w:asciiTheme="minorHAnsi" w:hAnsiTheme="minorHAnsi"/>
          <w:sz w:val="24"/>
          <w:szCs w:val="24"/>
        </w:rPr>
        <w:t xml:space="preserve">This request for funding for a tenure-track position in Geophysics will support and enhance student success in the geological sciences and build a strong research-based partnership with the oil and gas, mining, and environmental industries in Alaska and supports Shaping Alaska’s Future Themes 1, 3, and 4. Currently there are no geophysics courses offered within the BS degree in Geological Sciences, yet geophysics is a fundamental tool in all areas of modern geosciences.  Exploration and responsible development of Alaska’s resources is only possible with a properly trained workforce and it is the responsibility of UAA to contribute graduates who can compete for high-paying jobs available to geologists in Alaska.  Currently UAA Geological Sciences serves approximately 110 undergraduate majors, 10 minors and 800 non-majors per year. The BS program has 100% job and/or graduate school placement of its graduates.  The geophysics position will strengthen the environmental and the oil and gas research areas and will provide enhanced undergraduate research opportunities (engaged, practical learning) </w:t>
      </w:r>
      <w:r w:rsidRPr="00E54E49">
        <w:rPr>
          <w:rFonts w:asciiTheme="minorHAnsi" w:hAnsiTheme="minorHAnsi"/>
          <w:sz w:val="24"/>
          <w:szCs w:val="24"/>
        </w:rPr>
        <w:t>and the critical mass nec</w:t>
      </w:r>
      <w:r w:rsidR="00E54E49" w:rsidRPr="00E54E49">
        <w:rPr>
          <w:rFonts w:asciiTheme="minorHAnsi" w:hAnsiTheme="minorHAnsi"/>
          <w:sz w:val="24"/>
          <w:szCs w:val="24"/>
        </w:rPr>
        <w:t xml:space="preserve">essary to develop a MS program.  </w:t>
      </w:r>
      <w:r w:rsidRPr="00E54E49">
        <w:rPr>
          <w:rFonts w:asciiTheme="minorHAnsi" w:hAnsiTheme="minorHAnsi"/>
          <w:sz w:val="24"/>
          <w:szCs w:val="24"/>
        </w:rPr>
        <w:t xml:space="preserve">Geology </w:t>
      </w:r>
      <w:r w:rsidRPr="00573568">
        <w:rPr>
          <w:rFonts w:asciiTheme="minorHAnsi" w:hAnsiTheme="minorHAnsi"/>
          <w:sz w:val="24"/>
          <w:szCs w:val="24"/>
        </w:rPr>
        <w:t xml:space="preserve">MS graduates are highly desired by the oil and gas industries. For example, </w:t>
      </w:r>
      <w:r w:rsidR="00097FAA" w:rsidRPr="00573568">
        <w:rPr>
          <w:rFonts w:asciiTheme="minorHAnsi" w:hAnsiTheme="minorHAnsi"/>
          <w:sz w:val="24"/>
          <w:szCs w:val="24"/>
        </w:rPr>
        <w:t>ConocoPhillips</w:t>
      </w:r>
      <w:r w:rsidRPr="00573568">
        <w:rPr>
          <w:rFonts w:asciiTheme="minorHAnsi" w:hAnsiTheme="minorHAnsi"/>
          <w:sz w:val="24"/>
          <w:szCs w:val="24"/>
        </w:rPr>
        <w:t xml:space="preserve"> employs 60 fulltime geologists and 60 fulltime geophysicists with MS degrees.  In addition to research funding from oil and gas industry, solid earth geophysics is also fundable through federal agencies such as the National Science Foundation, Department of Energy, and Army Corp of Engineers; state agencies such as the Division of Geological and Geophysical Surveys; and environmental consulting and the mining industry.  Letters of support are provided by Resource Development Council for Alaska (RDC), Alaska Mining Association, Bristol Bay Native Corporation, APC Services, Alaska Resource Education, Hilcorp, </w:t>
      </w:r>
      <w:r w:rsidR="00097FAA" w:rsidRPr="00573568">
        <w:rPr>
          <w:rFonts w:asciiTheme="minorHAnsi" w:hAnsiTheme="minorHAnsi"/>
          <w:sz w:val="24"/>
          <w:szCs w:val="24"/>
        </w:rPr>
        <w:t>ConocoPhillips</w:t>
      </w:r>
      <w:r w:rsidRPr="00573568">
        <w:rPr>
          <w:rFonts w:asciiTheme="minorHAnsi" w:hAnsiTheme="minorHAnsi"/>
          <w:sz w:val="24"/>
          <w:szCs w:val="24"/>
        </w:rPr>
        <w:t>, BP, the Geophysical Society of Alaska, and the Alaska Geological Society.  As RDC summed it up, “The need for well-trained geoscience majors among RDC’s oil and gas, mineral exploration and development, and infrastructure design and construction member companies is growing.  The UAA development of the Department of Geological Sciences is a great step towards improving development of Alaska grown geoscientists.”</w:t>
      </w:r>
    </w:p>
    <w:p w:rsidR="00C97F72" w:rsidRPr="00573568" w:rsidRDefault="00C97F72" w:rsidP="00BC50BE">
      <w:pPr>
        <w:pStyle w:val="NoSpacing"/>
        <w:rPr>
          <w:b/>
          <w:sz w:val="24"/>
          <w:szCs w:val="24"/>
        </w:rPr>
      </w:pPr>
    </w:p>
    <w:p w:rsidR="00916B0E" w:rsidRDefault="00916B0E" w:rsidP="00DD13E4">
      <w:pPr>
        <w:rPr>
          <w:rFonts w:asciiTheme="minorHAnsi" w:hAnsiTheme="minorHAnsi"/>
          <w:b/>
          <w:sz w:val="28"/>
          <w:szCs w:val="24"/>
        </w:rPr>
      </w:pPr>
    </w:p>
    <w:p w:rsidR="00916B0E" w:rsidRDefault="00916B0E" w:rsidP="00DD13E4">
      <w:pPr>
        <w:rPr>
          <w:rFonts w:asciiTheme="minorHAnsi" w:hAnsiTheme="minorHAnsi"/>
          <w:b/>
          <w:sz w:val="28"/>
          <w:szCs w:val="24"/>
        </w:rPr>
      </w:pPr>
    </w:p>
    <w:p w:rsidR="00FA4128" w:rsidRDefault="00FA4128" w:rsidP="00DD13E4">
      <w:pPr>
        <w:rPr>
          <w:rFonts w:asciiTheme="minorHAnsi" w:hAnsiTheme="minorHAnsi"/>
          <w:b/>
          <w:sz w:val="28"/>
          <w:szCs w:val="24"/>
        </w:rPr>
      </w:pPr>
    </w:p>
    <w:p w:rsidR="007050B4" w:rsidRDefault="00DD13E4" w:rsidP="00DD13E4">
      <w:pPr>
        <w:rPr>
          <w:rFonts w:asciiTheme="minorHAnsi" w:hAnsiTheme="minorHAnsi"/>
          <w:b/>
          <w:sz w:val="28"/>
          <w:szCs w:val="28"/>
        </w:rPr>
      </w:pPr>
      <w:r w:rsidRPr="00115EC9">
        <w:rPr>
          <w:rFonts w:asciiTheme="minorHAnsi" w:hAnsiTheme="minorHAnsi"/>
          <w:b/>
          <w:sz w:val="28"/>
          <w:szCs w:val="24"/>
        </w:rPr>
        <w:lastRenderedPageBreak/>
        <w:t>Kodiak College – Maritime Workforce Development Coordinator</w:t>
      </w:r>
      <w:r w:rsidRPr="007050B4">
        <w:rPr>
          <w:rFonts w:asciiTheme="minorHAnsi" w:hAnsiTheme="minorHAnsi"/>
          <w:b/>
          <w:sz w:val="28"/>
          <w:szCs w:val="28"/>
        </w:rPr>
        <w:t>, $103.0 GF</w:t>
      </w:r>
      <w:r w:rsidR="007050B4" w:rsidRPr="007050B4">
        <w:rPr>
          <w:rFonts w:asciiTheme="minorHAnsi" w:hAnsiTheme="minorHAnsi"/>
          <w:b/>
          <w:sz w:val="28"/>
          <w:szCs w:val="28"/>
        </w:rPr>
        <w:t xml:space="preserve">, </w:t>
      </w:r>
    </w:p>
    <w:p w:rsidR="00DD13E4" w:rsidRDefault="007050B4" w:rsidP="00DD13E4">
      <w:pPr>
        <w:rPr>
          <w:rFonts w:asciiTheme="minorHAnsi" w:hAnsiTheme="minorHAnsi"/>
          <w:b/>
          <w:sz w:val="24"/>
          <w:szCs w:val="24"/>
        </w:rPr>
      </w:pPr>
      <w:r w:rsidRPr="007050B4">
        <w:rPr>
          <w:rFonts w:asciiTheme="minorHAnsi" w:hAnsiTheme="minorHAnsi"/>
          <w:b/>
          <w:sz w:val="28"/>
          <w:szCs w:val="28"/>
        </w:rPr>
        <w:t>$20.0 NGF</w:t>
      </w:r>
    </w:p>
    <w:p w:rsidR="00DD13E4" w:rsidRPr="00992698" w:rsidRDefault="00DD13E4" w:rsidP="00DD13E4">
      <w:pPr>
        <w:rPr>
          <w:rFonts w:asciiTheme="minorHAnsi" w:hAnsiTheme="minorHAnsi"/>
          <w:b/>
          <w:sz w:val="24"/>
          <w:szCs w:val="24"/>
        </w:rPr>
      </w:pPr>
      <w:r w:rsidRPr="00992698">
        <w:rPr>
          <w:rFonts w:asciiTheme="minorHAnsi" w:hAnsiTheme="minorHAnsi"/>
          <w:b/>
          <w:sz w:val="24"/>
          <w:szCs w:val="24"/>
        </w:rPr>
        <w:t xml:space="preserve">Shaping Alaska’s Future Theme/Issue: </w:t>
      </w:r>
      <w:r>
        <w:rPr>
          <w:rFonts w:asciiTheme="minorHAnsi" w:hAnsiTheme="minorHAnsi"/>
          <w:b/>
          <w:sz w:val="24"/>
          <w:szCs w:val="24"/>
        </w:rPr>
        <w:t>3A/B</w:t>
      </w:r>
    </w:p>
    <w:p w:rsidR="00DD13E4" w:rsidRPr="00992698" w:rsidRDefault="00DD13E4" w:rsidP="00DD13E4">
      <w:pPr>
        <w:rPr>
          <w:rFonts w:asciiTheme="minorHAnsi" w:hAnsiTheme="minorHAnsi"/>
          <w:b/>
          <w:sz w:val="24"/>
          <w:szCs w:val="24"/>
        </w:rPr>
      </w:pPr>
      <w:r w:rsidRPr="00992698">
        <w:rPr>
          <w:rFonts w:asciiTheme="minorHAnsi" w:hAnsiTheme="minorHAnsi"/>
          <w:b/>
          <w:sz w:val="24"/>
          <w:szCs w:val="24"/>
        </w:rPr>
        <w:t xml:space="preserve">Positions: </w:t>
      </w:r>
      <w:r>
        <w:rPr>
          <w:rFonts w:asciiTheme="minorHAnsi" w:hAnsiTheme="minorHAnsi"/>
          <w:b/>
          <w:sz w:val="24"/>
          <w:szCs w:val="24"/>
        </w:rPr>
        <w:t>1 FTE staff coordinator</w:t>
      </w:r>
    </w:p>
    <w:p w:rsidR="00DD13E4" w:rsidRPr="00573568" w:rsidRDefault="00DD13E4" w:rsidP="00DD13E4">
      <w:pPr>
        <w:rPr>
          <w:rFonts w:asciiTheme="minorHAnsi" w:hAnsiTheme="minorHAnsi"/>
          <w:sz w:val="24"/>
          <w:szCs w:val="24"/>
        </w:rPr>
      </w:pPr>
      <w:r w:rsidRPr="00573568">
        <w:rPr>
          <w:rFonts w:asciiTheme="minorHAnsi" w:hAnsiTheme="minorHAnsi"/>
          <w:sz w:val="24"/>
          <w:szCs w:val="24"/>
        </w:rPr>
        <w:t xml:space="preserve">Kodiak City is the third-largest port in the U.S. by landed value of seafood.  The Kodiak region is also recognized as having the highest percentage of local resident involvement in commercial fishing.  Kodiak’s seafood support sector employs an estimated 1,900 workers with an average of 1,600 workers per month (McDowell Group, 2013). The </w:t>
      </w:r>
      <w:r w:rsidRPr="00573568">
        <w:rPr>
          <w:rFonts w:asciiTheme="minorHAnsi" w:hAnsiTheme="minorHAnsi"/>
          <w:i/>
          <w:sz w:val="24"/>
          <w:szCs w:val="24"/>
        </w:rPr>
        <w:t xml:space="preserve">Alaska Maritime Workforce Development Plan </w:t>
      </w:r>
      <w:r w:rsidRPr="00573568">
        <w:rPr>
          <w:rFonts w:asciiTheme="minorHAnsi" w:hAnsiTheme="minorHAnsi"/>
          <w:sz w:val="24"/>
          <w:szCs w:val="24"/>
        </w:rPr>
        <w:t>(AMWDP)</w:t>
      </w:r>
      <w:r w:rsidRPr="00573568">
        <w:rPr>
          <w:rFonts w:asciiTheme="minorHAnsi" w:hAnsiTheme="minorHAnsi"/>
          <w:i/>
          <w:sz w:val="24"/>
          <w:szCs w:val="24"/>
        </w:rPr>
        <w:t xml:space="preserve"> </w:t>
      </w:r>
      <w:r w:rsidRPr="00573568">
        <w:rPr>
          <w:rFonts w:asciiTheme="minorHAnsi" w:hAnsiTheme="minorHAnsi"/>
          <w:sz w:val="24"/>
          <w:szCs w:val="24"/>
        </w:rPr>
        <w:t>(2014) reports “Vessel maintenance and repair service providers were identified by seafood harvesters as one of the primary needs to support the continued well-being of the commercial fishing industry.” Yet many Alaska ports lack highly trained vessel repair technicians, which leads to increased downtime for harvesters during the fishing season; thus, resulting in lost income.  Kodiak is one of those ports.  Kodiak College, in response to workforce development needs identified by the AMWDP</w:t>
      </w:r>
      <w:r w:rsidRPr="00573568">
        <w:rPr>
          <w:rFonts w:asciiTheme="minorHAnsi" w:hAnsiTheme="minorHAnsi"/>
          <w:i/>
          <w:sz w:val="24"/>
          <w:szCs w:val="24"/>
        </w:rPr>
        <w:t>,</w:t>
      </w:r>
      <w:r w:rsidRPr="00573568">
        <w:rPr>
          <w:rFonts w:asciiTheme="minorHAnsi" w:hAnsiTheme="minorHAnsi"/>
          <w:sz w:val="24"/>
          <w:szCs w:val="24"/>
        </w:rPr>
        <w:t xml:space="preserve"> in support of the UA’s </w:t>
      </w:r>
      <w:r w:rsidRPr="00573568">
        <w:rPr>
          <w:rFonts w:asciiTheme="minorHAnsi" w:hAnsiTheme="minorHAnsi"/>
          <w:i/>
          <w:sz w:val="24"/>
          <w:szCs w:val="24"/>
        </w:rPr>
        <w:t>Shaping Alaska’s Future</w:t>
      </w:r>
      <w:r w:rsidRPr="00573568">
        <w:rPr>
          <w:rFonts w:asciiTheme="minorHAnsi" w:hAnsiTheme="minorHAnsi"/>
          <w:sz w:val="24"/>
          <w:szCs w:val="24"/>
        </w:rPr>
        <w:t xml:space="preserve">, and to assist UA </w:t>
      </w:r>
      <w:r w:rsidR="00EA3E3E">
        <w:rPr>
          <w:rFonts w:asciiTheme="minorHAnsi" w:hAnsiTheme="minorHAnsi"/>
          <w:sz w:val="24"/>
          <w:szCs w:val="24"/>
        </w:rPr>
        <w:t xml:space="preserve">to </w:t>
      </w:r>
      <w:r w:rsidRPr="00573568">
        <w:rPr>
          <w:rFonts w:asciiTheme="minorHAnsi" w:hAnsiTheme="minorHAnsi"/>
          <w:sz w:val="24"/>
          <w:szCs w:val="24"/>
        </w:rPr>
        <w:t xml:space="preserve">fulfill the core theme of </w:t>
      </w:r>
      <w:r w:rsidRPr="00573568">
        <w:rPr>
          <w:rFonts w:asciiTheme="minorHAnsi" w:hAnsiTheme="minorHAnsi"/>
          <w:i/>
          <w:sz w:val="24"/>
          <w:szCs w:val="24"/>
        </w:rPr>
        <w:t>Productive Partnerships with Public Entities and Private Industries</w:t>
      </w:r>
      <w:r w:rsidRPr="00573568">
        <w:rPr>
          <w:rFonts w:asciiTheme="minorHAnsi" w:hAnsiTheme="minorHAnsi"/>
          <w:sz w:val="24"/>
          <w:szCs w:val="24"/>
        </w:rPr>
        <w:t xml:space="preserve">, seeks funding to support the position of </w:t>
      </w:r>
      <w:r w:rsidRPr="005C556D">
        <w:rPr>
          <w:rFonts w:asciiTheme="minorHAnsi" w:hAnsiTheme="minorHAnsi"/>
          <w:sz w:val="24"/>
          <w:szCs w:val="24"/>
        </w:rPr>
        <w:t>Maritime Workforce Development Coordinator.</w:t>
      </w:r>
      <w:r w:rsidRPr="00573568">
        <w:rPr>
          <w:rFonts w:asciiTheme="minorHAnsi" w:hAnsiTheme="minorHAnsi"/>
          <w:sz w:val="24"/>
          <w:szCs w:val="24"/>
        </w:rPr>
        <w:t xml:space="preserve"> This position, in collaboration with industry partners, and other UA community campuses, will develop and coordinate non-credit, short-term, intensive, Vessel Maintenance and Repair training and workshops for delivery to the fishing industry in the Kodiak Region and across coastal Alaska.  This position will also collaborate with those campuses, to bring their related intensive trainings and workshops to Kodiak, with Kodiak College acting as a “receiver” campus.</w:t>
      </w:r>
    </w:p>
    <w:p w:rsidR="00772B33" w:rsidRPr="00573568" w:rsidRDefault="00772B33" w:rsidP="00BC50BE">
      <w:pPr>
        <w:rPr>
          <w:rFonts w:asciiTheme="minorHAnsi" w:hAnsiTheme="minorHAnsi"/>
          <w:b/>
          <w:sz w:val="24"/>
          <w:szCs w:val="24"/>
          <w:highlight w:val="yellow"/>
        </w:rPr>
      </w:pPr>
    </w:p>
    <w:p w:rsidR="00263244" w:rsidRPr="00534907" w:rsidRDefault="008C0774" w:rsidP="00BC50BE">
      <w:pPr>
        <w:rPr>
          <w:rFonts w:asciiTheme="minorHAnsi" w:hAnsiTheme="minorHAnsi"/>
          <w:b/>
          <w:color w:val="669900"/>
          <w:sz w:val="40"/>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34907">
        <w:rPr>
          <w:rFonts w:asciiTheme="minorHAnsi" w:hAnsiTheme="minorHAnsi"/>
          <w:b/>
          <w:color w:val="669900"/>
          <w:sz w:val="40"/>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Student Achievement</w:t>
      </w:r>
      <w:r w:rsidR="00623AC4" w:rsidRPr="00534907">
        <w:rPr>
          <w:rFonts w:asciiTheme="minorHAnsi" w:hAnsiTheme="minorHAnsi"/>
          <w:b/>
          <w:color w:val="669900"/>
          <w:sz w:val="40"/>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Increment</w:t>
      </w:r>
      <w:r w:rsidR="00317660" w:rsidRPr="00534907">
        <w:rPr>
          <w:rFonts w:asciiTheme="minorHAnsi" w:hAnsiTheme="minorHAnsi"/>
          <w:b/>
          <w:color w:val="669900"/>
          <w:sz w:val="40"/>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317660" w:rsidRPr="00573568" w:rsidRDefault="00317660" w:rsidP="00BC50BE">
      <w:pPr>
        <w:rPr>
          <w:rFonts w:asciiTheme="minorHAnsi" w:hAnsiTheme="minorHAnsi"/>
          <w:sz w:val="24"/>
          <w:szCs w:val="24"/>
        </w:rPr>
      </w:pPr>
    </w:p>
    <w:p w:rsidR="00EF7F34" w:rsidRPr="00115EC9" w:rsidRDefault="00EF7F34" w:rsidP="00BC50BE">
      <w:pPr>
        <w:rPr>
          <w:rFonts w:asciiTheme="minorHAnsi" w:hAnsiTheme="minorHAnsi"/>
          <w:b/>
          <w:sz w:val="28"/>
          <w:szCs w:val="24"/>
        </w:rPr>
      </w:pPr>
      <w:r w:rsidRPr="00115EC9">
        <w:rPr>
          <w:rFonts w:asciiTheme="minorHAnsi" w:hAnsiTheme="minorHAnsi"/>
          <w:b/>
          <w:sz w:val="28"/>
          <w:szCs w:val="24"/>
        </w:rPr>
        <w:t>SUMMARY</w:t>
      </w:r>
    </w:p>
    <w:p w:rsidR="00263244" w:rsidRPr="00573568" w:rsidRDefault="00263244" w:rsidP="00BC50BE">
      <w:pPr>
        <w:rPr>
          <w:rFonts w:asciiTheme="minorHAnsi" w:hAnsiTheme="minorHAnsi"/>
          <w:sz w:val="24"/>
          <w:szCs w:val="24"/>
        </w:rPr>
      </w:pPr>
      <w:r w:rsidRPr="00573568">
        <w:rPr>
          <w:rFonts w:asciiTheme="minorHAnsi" w:hAnsiTheme="minorHAnsi"/>
          <w:sz w:val="24"/>
          <w:szCs w:val="24"/>
        </w:rPr>
        <w:t>Student achievement and attainment is predicated on three primary conditions that must exist for students to be successful.  Students must: (1) learn, and therefore be academically prepared to learn, (2) must develop strategies and show characteristics that contribute to persistence (i.e., motivation, commitment, engagement, and self-regulation), and (3) identify and commit to a plan of study which aligns with their interests and ability.</w:t>
      </w:r>
      <w:r w:rsidRPr="00573568">
        <w:rPr>
          <w:rStyle w:val="FootnoteReference"/>
          <w:rFonts w:asciiTheme="minorHAnsi" w:hAnsiTheme="minorHAnsi"/>
          <w:sz w:val="24"/>
          <w:szCs w:val="24"/>
        </w:rPr>
        <w:footnoteReference w:id="1"/>
      </w:r>
      <w:r w:rsidR="00E076D1">
        <w:rPr>
          <w:rFonts w:asciiTheme="minorHAnsi" w:hAnsiTheme="minorHAnsi"/>
          <w:sz w:val="24"/>
          <w:szCs w:val="24"/>
        </w:rPr>
        <w:t xml:space="preserve">  The four</w:t>
      </w:r>
      <w:r w:rsidR="00851E10">
        <w:rPr>
          <w:rFonts w:asciiTheme="minorHAnsi" w:hAnsiTheme="minorHAnsi"/>
          <w:sz w:val="24"/>
          <w:szCs w:val="24"/>
        </w:rPr>
        <w:t xml:space="preserve"> requests comprising this increment </w:t>
      </w:r>
      <w:r w:rsidRPr="00573568">
        <w:rPr>
          <w:rFonts w:asciiTheme="minorHAnsi" w:hAnsiTheme="minorHAnsi"/>
          <w:sz w:val="24"/>
          <w:szCs w:val="24"/>
        </w:rPr>
        <w:t>focus with intensity on these three core conditions to maximize the return on the investment of scarce institutional resources.</w:t>
      </w:r>
    </w:p>
    <w:p w:rsidR="00263244" w:rsidRPr="00573568" w:rsidRDefault="00263244" w:rsidP="00BC50BE">
      <w:pPr>
        <w:rPr>
          <w:rFonts w:asciiTheme="minorHAnsi" w:hAnsiTheme="minorHAnsi"/>
          <w:b/>
          <w:i/>
          <w:sz w:val="24"/>
          <w:szCs w:val="24"/>
        </w:rPr>
      </w:pPr>
    </w:p>
    <w:p w:rsidR="00263244" w:rsidRDefault="00263244" w:rsidP="00BC50BE">
      <w:pPr>
        <w:rPr>
          <w:rFonts w:asciiTheme="minorHAnsi" w:hAnsiTheme="minorHAnsi"/>
          <w:b/>
          <w:sz w:val="28"/>
          <w:szCs w:val="24"/>
        </w:rPr>
      </w:pPr>
      <w:r w:rsidRPr="00115EC9">
        <w:rPr>
          <w:rFonts w:asciiTheme="minorHAnsi" w:hAnsiTheme="minorHAnsi"/>
          <w:b/>
          <w:sz w:val="28"/>
          <w:szCs w:val="24"/>
        </w:rPr>
        <w:t>Rural Student Transition Specialist (RSTS)</w:t>
      </w:r>
      <w:r w:rsidR="00097FAA">
        <w:rPr>
          <w:rFonts w:asciiTheme="minorHAnsi" w:hAnsiTheme="minorHAnsi"/>
          <w:b/>
          <w:sz w:val="28"/>
          <w:szCs w:val="24"/>
        </w:rPr>
        <w:t>,</w:t>
      </w:r>
      <w:r w:rsidR="004C5290" w:rsidRPr="00115EC9">
        <w:rPr>
          <w:rFonts w:asciiTheme="minorHAnsi" w:hAnsiTheme="minorHAnsi"/>
          <w:b/>
          <w:sz w:val="28"/>
          <w:szCs w:val="24"/>
        </w:rPr>
        <w:t xml:space="preserve"> $73.0</w:t>
      </w:r>
      <w:r w:rsidR="004C5290" w:rsidRPr="00115EC9">
        <w:rPr>
          <w:rFonts w:asciiTheme="minorHAnsi" w:hAnsiTheme="minorHAnsi"/>
          <w:b/>
          <w:i/>
          <w:sz w:val="28"/>
          <w:szCs w:val="24"/>
        </w:rPr>
        <w:t xml:space="preserve"> </w:t>
      </w:r>
      <w:r w:rsidR="004C5290" w:rsidRPr="00115EC9">
        <w:rPr>
          <w:rFonts w:asciiTheme="minorHAnsi" w:hAnsiTheme="minorHAnsi"/>
          <w:b/>
          <w:sz w:val="28"/>
          <w:szCs w:val="24"/>
        </w:rPr>
        <w:t xml:space="preserve">GF </w:t>
      </w:r>
    </w:p>
    <w:p w:rsidR="00D509C4" w:rsidRPr="00992698" w:rsidRDefault="00D509C4" w:rsidP="00D509C4">
      <w:pPr>
        <w:rPr>
          <w:rFonts w:asciiTheme="minorHAnsi" w:hAnsiTheme="minorHAnsi"/>
          <w:b/>
          <w:sz w:val="24"/>
          <w:szCs w:val="24"/>
        </w:rPr>
      </w:pPr>
      <w:r w:rsidRPr="00992698">
        <w:rPr>
          <w:rFonts w:asciiTheme="minorHAnsi" w:hAnsiTheme="minorHAnsi"/>
          <w:b/>
          <w:sz w:val="24"/>
          <w:szCs w:val="24"/>
        </w:rPr>
        <w:t xml:space="preserve">Shaping Alaska’s Future Theme/Issue: </w:t>
      </w:r>
      <w:r>
        <w:rPr>
          <w:rFonts w:asciiTheme="minorHAnsi" w:hAnsiTheme="minorHAnsi"/>
          <w:b/>
          <w:sz w:val="24"/>
          <w:szCs w:val="24"/>
        </w:rPr>
        <w:t>1A/B/E</w:t>
      </w:r>
    </w:p>
    <w:p w:rsidR="00D509C4" w:rsidRPr="00992698" w:rsidRDefault="00D509C4" w:rsidP="00D509C4">
      <w:pPr>
        <w:rPr>
          <w:rFonts w:asciiTheme="minorHAnsi" w:hAnsiTheme="minorHAnsi"/>
          <w:b/>
          <w:sz w:val="24"/>
          <w:szCs w:val="24"/>
        </w:rPr>
      </w:pPr>
      <w:r w:rsidRPr="00992698">
        <w:rPr>
          <w:rFonts w:asciiTheme="minorHAnsi" w:hAnsiTheme="minorHAnsi"/>
          <w:b/>
          <w:sz w:val="24"/>
          <w:szCs w:val="24"/>
        </w:rPr>
        <w:t xml:space="preserve">Positions: </w:t>
      </w:r>
      <w:r>
        <w:rPr>
          <w:rFonts w:asciiTheme="minorHAnsi" w:hAnsiTheme="minorHAnsi"/>
          <w:b/>
          <w:sz w:val="24"/>
          <w:szCs w:val="24"/>
        </w:rPr>
        <w:t>1 FTE staff specialist</w:t>
      </w:r>
    </w:p>
    <w:p w:rsidR="00263244" w:rsidRPr="00573568" w:rsidRDefault="00263244" w:rsidP="00BC50BE">
      <w:pPr>
        <w:rPr>
          <w:rFonts w:asciiTheme="minorHAnsi" w:hAnsiTheme="minorHAnsi"/>
          <w:sz w:val="24"/>
          <w:szCs w:val="24"/>
        </w:rPr>
      </w:pPr>
      <w:r w:rsidRPr="00573568">
        <w:rPr>
          <w:rFonts w:asciiTheme="minorHAnsi" w:hAnsiTheme="minorHAnsi"/>
          <w:sz w:val="24"/>
          <w:szCs w:val="24"/>
        </w:rPr>
        <w:t>The first-to-second year retention rate among UAA’s Alaska Native students (49% in FY12) is 20% lower than the institution’s overall (68% in FY12) first-time degree-seeking student retention rate.</w:t>
      </w:r>
    </w:p>
    <w:p w:rsidR="00263244" w:rsidRPr="00573568" w:rsidRDefault="00263244" w:rsidP="00BC50BE">
      <w:pPr>
        <w:rPr>
          <w:rFonts w:asciiTheme="minorHAnsi" w:hAnsiTheme="minorHAnsi"/>
          <w:sz w:val="24"/>
          <w:szCs w:val="24"/>
        </w:rPr>
      </w:pPr>
    </w:p>
    <w:p w:rsidR="00263244" w:rsidRPr="00573568" w:rsidRDefault="00263244" w:rsidP="00BC50BE">
      <w:pPr>
        <w:rPr>
          <w:rFonts w:asciiTheme="minorHAnsi" w:hAnsiTheme="minorHAnsi"/>
          <w:sz w:val="24"/>
          <w:szCs w:val="24"/>
        </w:rPr>
      </w:pPr>
      <w:r w:rsidRPr="00573568">
        <w:rPr>
          <w:rFonts w:asciiTheme="minorHAnsi" w:hAnsiTheme="minorHAnsi"/>
          <w:sz w:val="24"/>
          <w:szCs w:val="24"/>
        </w:rPr>
        <w:t xml:space="preserve">Starting in fall 2012, UAA piloted a new rural student transition program through a generous donation from the Eyak Corporation, to ensure prospective rural college bound students were positively connected to UAA’s enrollment and advising services beginning in their junior year of high </w:t>
      </w:r>
      <w:r w:rsidRPr="00573568">
        <w:rPr>
          <w:rFonts w:asciiTheme="minorHAnsi" w:hAnsiTheme="minorHAnsi"/>
          <w:sz w:val="24"/>
          <w:szCs w:val="24"/>
        </w:rPr>
        <w:lastRenderedPageBreak/>
        <w:t xml:space="preserve">school.  The RSTS works as a one-stop liaison with these students from first point of interest through to their second year of college. The RSTS establishes and sustains community-based relationships with rural Alaska school districts, school counselors and high school students to support the recruitment and initial transition into college. The RSTS provides individual support to students in areas of transition including housing, financial aid, academic advising, registration, orientation, and peer-to-peer campus connectedness. </w:t>
      </w:r>
    </w:p>
    <w:p w:rsidR="00263244" w:rsidRPr="00573568" w:rsidRDefault="00263244" w:rsidP="0019511E">
      <w:pPr>
        <w:pStyle w:val="AttachmentVPara"/>
        <w:ind w:left="0"/>
        <w:rPr>
          <w:rFonts w:asciiTheme="minorHAnsi" w:hAnsiTheme="minorHAnsi"/>
          <w:sz w:val="24"/>
          <w:szCs w:val="24"/>
        </w:rPr>
      </w:pPr>
    </w:p>
    <w:p w:rsidR="00263244" w:rsidRPr="00573568" w:rsidRDefault="00263244" w:rsidP="00BC50BE">
      <w:pPr>
        <w:pStyle w:val="AttachmentVPara"/>
        <w:ind w:left="0"/>
        <w:rPr>
          <w:rFonts w:asciiTheme="minorHAnsi" w:hAnsiTheme="minorHAnsi"/>
          <w:sz w:val="24"/>
          <w:szCs w:val="24"/>
        </w:rPr>
      </w:pPr>
      <w:r w:rsidRPr="00573568">
        <w:rPr>
          <w:rFonts w:asciiTheme="minorHAnsi" w:hAnsiTheme="minorHAnsi"/>
          <w:sz w:val="24"/>
          <w:szCs w:val="24"/>
        </w:rPr>
        <w:t>The RSTS program was successful within the first year of the program.  The first cohort of program participants (fall 2012) had a retention rate of 57% from fall 2012 to fall 2013, 8% higher than their Alaska Native non-program participant peers.  The primary objective for the RSTS program is for the RSTS liaison to proactively guide participants into their second year of college by creating and sustaining meaningful connections between the student and support services at UAA.</w:t>
      </w:r>
    </w:p>
    <w:p w:rsidR="00263244" w:rsidRPr="00573568" w:rsidRDefault="00263244" w:rsidP="00BC50BE">
      <w:pPr>
        <w:pStyle w:val="AttachmentVPara"/>
        <w:ind w:left="0"/>
        <w:rPr>
          <w:rFonts w:asciiTheme="minorHAnsi" w:hAnsiTheme="minorHAnsi"/>
          <w:sz w:val="24"/>
          <w:szCs w:val="24"/>
        </w:rPr>
      </w:pPr>
    </w:p>
    <w:p w:rsidR="00263244" w:rsidRPr="00832CC6" w:rsidRDefault="00263244" w:rsidP="00832CC6">
      <w:pPr>
        <w:pStyle w:val="AttachmentVPara"/>
        <w:ind w:left="0"/>
        <w:rPr>
          <w:rFonts w:asciiTheme="minorHAnsi" w:hAnsiTheme="minorHAnsi"/>
          <w:sz w:val="24"/>
          <w:szCs w:val="24"/>
        </w:rPr>
      </w:pPr>
      <w:r w:rsidRPr="00573568">
        <w:rPr>
          <w:rFonts w:asciiTheme="minorHAnsi" w:hAnsiTheme="minorHAnsi"/>
          <w:sz w:val="24"/>
          <w:szCs w:val="24"/>
        </w:rPr>
        <w:t>The RSTS contributes to UA Shaping Alaska’s Future Theme 1 (Student Achievement and Attainment) by increasing retention rates and college access to Alaska Native and rural students.</w:t>
      </w:r>
      <w:r w:rsidR="00832CC6">
        <w:rPr>
          <w:rFonts w:asciiTheme="minorHAnsi" w:hAnsiTheme="minorHAnsi"/>
          <w:sz w:val="24"/>
          <w:szCs w:val="24"/>
        </w:rPr>
        <w:t xml:space="preserve">  </w:t>
      </w:r>
      <w:r w:rsidRPr="00573568">
        <w:rPr>
          <w:rFonts w:asciiTheme="minorHAnsi" w:hAnsiTheme="minorHAnsi"/>
          <w:color w:val="000000"/>
          <w:sz w:val="24"/>
          <w:szCs w:val="24"/>
        </w:rPr>
        <w:t>$73,000 GF is requested to continue the RSTS position (1 FTE).</w:t>
      </w:r>
    </w:p>
    <w:p w:rsidR="00132074" w:rsidRDefault="00132074" w:rsidP="007D40AB">
      <w:pPr>
        <w:pStyle w:val="NoSpacing"/>
        <w:rPr>
          <w:b/>
          <w:sz w:val="28"/>
          <w:szCs w:val="24"/>
        </w:rPr>
      </w:pPr>
    </w:p>
    <w:p w:rsidR="007D40AB" w:rsidRDefault="007D40AB" w:rsidP="007D40AB">
      <w:pPr>
        <w:pStyle w:val="NoSpacing"/>
        <w:rPr>
          <w:b/>
          <w:sz w:val="28"/>
          <w:szCs w:val="24"/>
        </w:rPr>
      </w:pPr>
      <w:r>
        <w:rPr>
          <w:b/>
          <w:sz w:val="28"/>
          <w:szCs w:val="24"/>
        </w:rPr>
        <w:t>KPC Kachemak Bay Campus</w:t>
      </w:r>
      <w:r w:rsidRPr="00115EC9">
        <w:rPr>
          <w:b/>
          <w:sz w:val="28"/>
          <w:szCs w:val="24"/>
        </w:rPr>
        <w:t xml:space="preserve"> </w:t>
      </w:r>
      <w:r w:rsidR="0006788B">
        <w:rPr>
          <w:b/>
          <w:sz w:val="28"/>
          <w:szCs w:val="24"/>
        </w:rPr>
        <w:t xml:space="preserve">(KBC) </w:t>
      </w:r>
      <w:r w:rsidRPr="00115EC9">
        <w:rPr>
          <w:b/>
          <w:sz w:val="28"/>
          <w:szCs w:val="24"/>
        </w:rPr>
        <w:t>Student Success Advisor</w:t>
      </w:r>
      <w:r w:rsidR="0006788B">
        <w:rPr>
          <w:b/>
          <w:sz w:val="28"/>
          <w:szCs w:val="24"/>
        </w:rPr>
        <w:t>,</w:t>
      </w:r>
      <w:r w:rsidRPr="00115EC9">
        <w:rPr>
          <w:b/>
          <w:sz w:val="28"/>
          <w:szCs w:val="24"/>
        </w:rPr>
        <w:t xml:space="preserve"> $72.0  GF</w:t>
      </w:r>
    </w:p>
    <w:p w:rsidR="0006788B" w:rsidRPr="00992698" w:rsidRDefault="0006788B" w:rsidP="0006788B">
      <w:pPr>
        <w:rPr>
          <w:rFonts w:asciiTheme="minorHAnsi" w:hAnsiTheme="minorHAnsi"/>
          <w:b/>
          <w:sz w:val="24"/>
          <w:szCs w:val="24"/>
        </w:rPr>
      </w:pPr>
      <w:r w:rsidRPr="00992698">
        <w:rPr>
          <w:rFonts w:asciiTheme="minorHAnsi" w:hAnsiTheme="minorHAnsi"/>
          <w:b/>
          <w:sz w:val="24"/>
          <w:szCs w:val="24"/>
        </w:rPr>
        <w:t xml:space="preserve">Shaping Alaska’s Future Theme/Issue: </w:t>
      </w:r>
      <w:r>
        <w:rPr>
          <w:rFonts w:asciiTheme="minorHAnsi" w:hAnsiTheme="minorHAnsi"/>
          <w:b/>
          <w:sz w:val="24"/>
          <w:szCs w:val="24"/>
        </w:rPr>
        <w:t>1A/B, 2C</w:t>
      </w:r>
    </w:p>
    <w:p w:rsidR="0006788B" w:rsidRPr="00992698" w:rsidRDefault="0006788B" w:rsidP="0006788B">
      <w:pPr>
        <w:rPr>
          <w:rFonts w:asciiTheme="minorHAnsi" w:hAnsiTheme="minorHAnsi"/>
          <w:b/>
          <w:sz w:val="24"/>
          <w:szCs w:val="24"/>
        </w:rPr>
      </w:pPr>
      <w:r w:rsidRPr="00992698">
        <w:rPr>
          <w:rFonts w:asciiTheme="minorHAnsi" w:hAnsiTheme="minorHAnsi"/>
          <w:b/>
          <w:sz w:val="24"/>
          <w:szCs w:val="24"/>
        </w:rPr>
        <w:t xml:space="preserve">Positions: </w:t>
      </w:r>
      <w:r>
        <w:rPr>
          <w:rFonts w:asciiTheme="minorHAnsi" w:hAnsiTheme="minorHAnsi"/>
          <w:b/>
          <w:sz w:val="24"/>
          <w:szCs w:val="24"/>
        </w:rPr>
        <w:t>1 FTE staff advisor</w:t>
      </w:r>
    </w:p>
    <w:p w:rsidR="007D40AB" w:rsidRPr="00573568" w:rsidRDefault="007D40AB" w:rsidP="007D40AB">
      <w:pPr>
        <w:pStyle w:val="NoSpacing"/>
        <w:rPr>
          <w:sz w:val="24"/>
          <w:szCs w:val="24"/>
        </w:rPr>
      </w:pPr>
      <w:r w:rsidRPr="00573568">
        <w:rPr>
          <w:sz w:val="24"/>
          <w:szCs w:val="24"/>
        </w:rPr>
        <w:t xml:space="preserve">KBC serves a population of 14,000 and does not have a permanently-funded Student Services advisor dedicated to providing year-round consistent and comprehensive: </w:t>
      </w:r>
    </w:p>
    <w:p w:rsidR="007D40AB" w:rsidRPr="00573568" w:rsidRDefault="007D40AB" w:rsidP="003225D5">
      <w:pPr>
        <w:pStyle w:val="NoSpacing"/>
        <w:numPr>
          <w:ilvl w:val="0"/>
          <w:numId w:val="12"/>
        </w:numPr>
        <w:rPr>
          <w:sz w:val="24"/>
          <w:szCs w:val="24"/>
        </w:rPr>
      </w:pPr>
      <w:r w:rsidRPr="00573568">
        <w:rPr>
          <w:sz w:val="24"/>
          <w:szCs w:val="24"/>
        </w:rPr>
        <w:t xml:space="preserve">academic, vocational, enrollment and retention advising, </w:t>
      </w:r>
    </w:p>
    <w:p w:rsidR="007D40AB" w:rsidRPr="00573568" w:rsidRDefault="007D40AB" w:rsidP="003225D5">
      <w:pPr>
        <w:pStyle w:val="NoSpacing"/>
        <w:numPr>
          <w:ilvl w:val="0"/>
          <w:numId w:val="12"/>
        </w:numPr>
        <w:rPr>
          <w:sz w:val="24"/>
          <w:szCs w:val="24"/>
        </w:rPr>
      </w:pPr>
      <w:r w:rsidRPr="00573568">
        <w:rPr>
          <w:sz w:val="24"/>
          <w:szCs w:val="24"/>
        </w:rPr>
        <w:t xml:space="preserve">career job and exploration services to new, continuing students, and special population students, and </w:t>
      </w:r>
    </w:p>
    <w:p w:rsidR="007D40AB" w:rsidRPr="00573568" w:rsidRDefault="007D40AB" w:rsidP="003225D5">
      <w:pPr>
        <w:pStyle w:val="NoSpacing"/>
        <w:numPr>
          <w:ilvl w:val="0"/>
          <w:numId w:val="12"/>
        </w:numPr>
        <w:rPr>
          <w:sz w:val="24"/>
          <w:szCs w:val="24"/>
        </w:rPr>
      </w:pPr>
      <w:r w:rsidRPr="00573568">
        <w:rPr>
          <w:sz w:val="24"/>
          <w:szCs w:val="24"/>
        </w:rPr>
        <w:t xml:space="preserve">advising to KBC’s e-learning students from across the State. </w:t>
      </w:r>
    </w:p>
    <w:p w:rsidR="007D40AB" w:rsidRPr="00573568" w:rsidRDefault="007D40AB" w:rsidP="007D40AB">
      <w:pPr>
        <w:pStyle w:val="NoSpacing"/>
        <w:rPr>
          <w:sz w:val="24"/>
          <w:szCs w:val="24"/>
        </w:rPr>
      </w:pPr>
      <w:r w:rsidRPr="00573568">
        <w:rPr>
          <w:sz w:val="24"/>
          <w:szCs w:val="24"/>
        </w:rPr>
        <w:t>The position will conduct retention and student success activities, and academic and financial aid advising that guides students in determining appropriate entry level, completing admissions, selecting classes and developing academic plans.  This role is vital to increasing student success and enhancing the campus’s educational quality. The position will significantly strengthen recruitment with the area high schools’ graduating seniors, including area Native Alaskan and Russian Old Believer villages.  Meeting the current and increasing demand for full-time comprehensive student advising, this position will directly impact student credit hour production, retention, and student success as well as meet a verifiable, accountable and vital function at the campus. This position will fill a critical gap identified in the UAA 2000 NWCUU Accreditation Report to increase the availability of student support services at KBC by having a student success advisor. KBC has used a patchwork of soft money funds, including from the Kenai Peninsula Borough, to support this position on a part-time, temporary basis for three years.</w:t>
      </w:r>
    </w:p>
    <w:p w:rsidR="00C6714F" w:rsidRDefault="00C6714F" w:rsidP="00C6714F">
      <w:pPr>
        <w:rPr>
          <w:rFonts w:asciiTheme="minorHAnsi" w:hAnsiTheme="minorHAnsi"/>
          <w:b/>
          <w:sz w:val="28"/>
          <w:szCs w:val="24"/>
        </w:rPr>
      </w:pPr>
    </w:p>
    <w:p w:rsidR="00916B0E" w:rsidRDefault="00916B0E" w:rsidP="00C6714F">
      <w:pPr>
        <w:rPr>
          <w:rFonts w:asciiTheme="minorHAnsi" w:hAnsiTheme="minorHAnsi"/>
          <w:b/>
          <w:sz w:val="28"/>
          <w:szCs w:val="24"/>
        </w:rPr>
      </w:pPr>
    </w:p>
    <w:p w:rsidR="00916B0E" w:rsidRDefault="00916B0E" w:rsidP="00C6714F">
      <w:pPr>
        <w:rPr>
          <w:rFonts w:asciiTheme="minorHAnsi" w:hAnsiTheme="minorHAnsi"/>
          <w:b/>
          <w:sz w:val="28"/>
          <w:szCs w:val="24"/>
        </w:rPr>
      </w:pPr>
    </w:p>
    <w:p w:rsidR="00916B0E" w:rsidRDefault="00916B0E" w:rsidP="00C6714F">
      <w:pPr>
        <w:rPr>
          <w:rFonts w:asciiTheme="minorHAnsi" w:hAnsiTheme="minorHAnsi"/>
          <w:b/>
          <w:sz w:val="28"/>
          <w:szCs w:val="24"/>
        </w:rPr>
      </w:pPr>
    </w:p>
    <w:p w:rsidR="00916B0E" w:rsidRDefault="00916B0E" w:rsidP="00C6714F">
      <w:pPr>
        <w:rPr>
          <w:rFonts w:asciiTheme="minorHAnsi" w:hAnsiTheme="minorHAnsi"/>
          <w:b/>
          <w:sz w:val="28"/>
          <w:szCs w:val="24"/>
        </w:rPr>
      </w:pPr>
    </w:p>
    <w:p w:rsidR="00916B0E" w:rsidRDefault="00916B0E" w:rsidP="00C6714F">
      <w:pPr>
        <w:rPr>
          <w:rFonts w:asciiTheme="minorHAnsi" w:hAnsiTheme="minorHAnsi"/>
          <w:b/>
          <w:sz w:val="28"/>
          <w:szCs w:val="24"/>
        </w:rPr>
      </w:pPr>
    </w:p>
    <w:p w:rsidR="00916B0E" w:rsidRDefault="00916B0E" w:rsidP="00C6714F">
      <w:pPr>
        <w:rPr>
          <w:rFonts w:asciiTheme="minorHAnsi" w:hAnsiTheme="minorHAnsi"/>
          <w:b/>
          <w:sz w:val="28"/>
          <w:szCs w:val="24"/>
        </w:rPr>
      </w:pPr>
    </w:p>
    <w:p w:rsidR="00C6714F" w:rsidRDefault="00C6714F" w:rsidP="00C6714F">
      <w:pPr>
        <w:rPr>
          <w:rFonts w:asciiTheme="minorHAnsi" w:hAnsiTheme="minorHAnsi"/>
          <w:b/>
          <w:sz w:val="28"/>
          <w:szCs w:val="24"/>
        </w:rPr>
      </w:pPr>
      <w:r w:rsidRPr="00115EC9">
        <w:rPr>
          <w:rFonts w:asciiTheme="minorHAnsi" w:hAnsiTheme="minorHAnsi"/>
          <w:b/>
          <w:sz w:val="28"/>
          <w:szCs w:val="24"/>
        </w:rPr>
        <w:lastRenderedPageBreak/>
        <w:t>Financial Literacy Outreach Specialist</w:t>
      </w:r>
      <w:r w:rsidR="007D4095">
        <w:rPr>
          <w:rFonts w:asciiTheme="minorHAnsi" w:hAnsiTheme="minorHAnsi"/>
          <w:b/>
          <w:sz w:val="28"/>
          <w:szCs w:val="24"/>
        </w:rPr>
        <w:t>,</w:t>
      </w:r>
      <w:r w:rsidRPr="00115EC9">
        <w:rPr>
          <w:rFonts w:asciiTheme="minorHAnsi" w:hAnsiTheme="minorHAnsi"/>
          <w:b/>
          <w:sz w:val="28"/>
          <w:szCs w:val="24"/>
        </w:rPr>
        <w:t xml:space="preserve"> $81.5 GF</w:t>
      </w:r>
    </w:p>
    <w:p w:rsidR="00C6714F" w:rsidRPr="00992698" w:rsidRDefault="00C6714F" w:rsidP="00C6714F">
      <w:pPr>
        <w:rPr>
          <w:rFonts w:asciiTheme="minorHAnsi" w:hAnsiTheme="minorHAnsi"/>
          <w:b/>
          <w:sz w:val="24"/>
          <w:szCs w:val="24"/>
        </w:rPr>
      </w:pPr>
      <w:r w:rsidRPr="00992698">
        <w:rPr>
          <w:rFonts w:asciiTheme="minorHAnsi" w:hAnsiTheme="minorHAnsi"/>
          <w:b/>
          <w:sz w:val="24"/>
          <w:szCs w:val="24"/>
        </w:rPr>
        <w:t xml:space="preserve">Shaping Alaska’s Future Theme/Issue: </w:t>
      </w:r>
      <w:r>
        <w:rPr>
          <w:rFonts w:asciiTheme="minorHAnsi" w:hAnsiTheme="minorHAnsi"/>
          <w:b/>
          <w:sz w:val="24"/>
          <w:szCs w:val="24"/>
        </w:rPr>
        <w:t>1</w:t>
      </w:r>
      <w:r w:rsidR="00C74739">
        <w:rPr>
          <w:rFonts w:asciiTheme="minorHAnsi" w:hAnsiTheme="minorHAnsi"/>
          <w:b/>
          <w:sz w:val="24"/>
          <w:szCs w:val="24"/>
        </w:rPr>
        <w:t>A, 5D</w:t>
      </w:r>
    </w:p>
    <w:p w:rsidR="00C6714F" w:rsidRPr="00992698" w:rsidRDefault="00C6714F" w:rsidP="00C6714F">
      <w:pPr>
        <w:rPr>
          <w:rFonts w:asciiTheme="minorHAnsi" w:hAnsiTheme="minorHAnsi"/>
          <w:b/>
          <w:sz w:val="24"/>
          <w:szCs w:val="24"/>
        </w:rPr>
      </w:pPr>
      <w:r w:rsidRPr="00992698">
        <w:rPr>
          <w:rFonts w:asciiTheme="minorHAnsi" w:hAnsiTheme="minorHAnsi"/>
          <w:b/>
          <w:sz w:val="24"/>
          <w:szCs w:val="24"/>
        </w:rPr>
        <w:t xml:space="preserve">Positions: </w:t>
      </w:r>
      <w:r>
        <w:rPr>
          <w:rFonts w:asciiTheme="minorHAnsi" w:hAnsiTheme="minorHAnsi"/>
          <w:b/>
          <w:sz w:val="24"/>
          <w:szCs w:val="24"/>
        </w:rPr>
        <w:t>1 FTE sta</w:t>
      </w:r>
      <w:r w:rsidR="00C74739">
        <w:rPr>
          <w:rFonts w:asciiTheme="minorHAnsi" w:hAnsiTheme="minorHAnsi"/>
          <w:b/>
          <w:sz w:val="24"/>
          <w:szCs w:val="24"/>
        </w:rPr>
        <w:t>ff outreach specialist</w:t>
      </w:r>
    </w:p>
    <w:p w:rsidR="00C6714F" w:rsidRPr="00573568" w:rsidRDefault="00C6714F" w:rsidP="00C6714F">
      <w:pPr>
        <w:rPr>
          <w:rFonts w:asciiTheme="minorHAnsi" w:hAnsiTheme="minorHAnsi"/>
          <w:sz w:val="24"/>
          <w:szCs w:val="24"/>
        </w:rPr>
      </w:pPr>
      <w:r w:rsidRPr="00573568">
        <w:rPr>
          <w:rFonts w:asciiTheme="minorHAnsi" w:hAnsiTheme="minorHAnsi"/>
          <w:sz w:val="24"/>
          <w:szCs w:val="24"/>
        </w:rPr>
        <w:t>UAA is federally mandated to provide financial literacy education and loan default counseling. Funding is requested to implement a Financial Literacy Outreach Specialist (FLOS) program in response to increased UAA student borrowing and loan default rates, looming new federal regulations, public/media attention on student debt, and as part of broad efforts to improve persistence and graduation rates.  The goal is to teach students how to budget, manage, and plan so they have adequate funding for their entire academic career.</w:t>
      </w:r>
      <w:r w:rsidRPr="00573568">
        <w:rPr>
          <w:rFonts w:asciiTheme="minorHAnsi" w:hAnsiTheme="minorHAnsi"/>
          <w:sz w:val="24"/>
          <w:szCs w:val="24"/>
        </w:rPr>
        <w:br/>
      </w:r>
    </w:p>
    <w:p w:rsidR="00C6714F" w:rsidRPr="00573568" w:rsidRDefault="00C6714F" w:rsidP="00C6714F">
      <w:pPr>
        <w:rPr>
          <w:rFonts w:asciiTheme="minorHAnsi" w:hAnsiTheme="minorHAnsi"/>
          <w:sz w:val="24"/>
          <w:szCs w:val="24"/>
        </w:rPr>
      </w:pPr>
      <w:r w:rsidRPr="00573568">
        <w:rPr>
          <w:rFonts w:asciiTheme="minorHAnsi" w:hAnsiTheme="minorHAnsi"/>
          <w:sz w:val="24"/>
          <w:szCs w:val="24"/>
        </w:rPr>
        <w:t>The FLOS will counsel students privately, and educate through workshops and awareness campaigns. This work requires very different skills than financial aid technicians, necessitating a new position. Internal reallocation of positions is not realistic, because, as UAA’s 2013 Standards of Excellence Review cited, UAA is understaffed in financial aid by three FTE compared to national standards.</w:t>
      </w:r>
    </w:p>
    <w:p w:rsidR="00C6714F" w:rsidRPr="00573568" w:rsidRDefault="00C6714F" w:rsidP="00C6714F">
      <w:pPr>
        <w:rPr>
          <w:rFonts w:asciiTheme="minorHAnsi" w:hAnsiTheme="minorHAnsi"/>
          <w:color w:val="1F497D"/>
          <w:sz w:val="24"/>
          <w:szCs w:val="24"/>
        </w:rPr>
      </w:pPr>
    </w:p>
    <w:p w:rsidR="00C6714F" w:rsidRPr="00573568" w:rsidRDefault="00C6714F" w:rsidP="00C6714F">
      <w:pPr>
        <w:rPr>
          <w:rFonts w:asciiTheme="minorHAnsi" w:hAnsiTheme="minorHAnsi"/>
          <w:sz w:val="24"/>
          <w:szCs w:val="24"/>
        </w:rPr>
      </w:pPr>
      <w:r w:rsidRPr="00573568">
        <w:rPr>
          <w:rFonts w:asciiTheme="minorHAnsi" w:hAnsiTheme="minorHAnsi"/>
          <w:sz w:val="24"/>
          <w:szCs w:val="24"/>
        </w:rPr>
        <w:t>Anticipated outcomes are:</w:t>
      </w:r>
    </w:p>
    <w:p w:rsidR="00C6714F" w:rsidRPr="0050439D" w:rsidRDefault="00C6714F" w:rsidP="00C6714F">
      <w:pPr>
        <w:pStyle w:val="ListParagraph"/>
        <w:numPr>
          <w:ilvl w:val="0"/>
          <w:numId w:val="7"/>
        </w:numPr>
        <w:rPr>
          <w:rFonts w:asciiTheme="minorHAnsi" w:hAnsiTheme="minorHAnsi"/>
          <w:sz w:val="24"/>
          <w:szCs w:val="24"/>
        </w:rPr>
      </w:pPr>
      <w:r w:rsidRPr="0050439D">
        <w:rPr>
          <w:rFonts w:asciiTheme="minorHAnsi" w:hAnsiTheme="minorHAnsi"/>
          <w:sz w:val="24"/>
          <w:szCs w:val="24"/>
        </w:rPr>
        <w:t>Lower student loan default rates. UAA default rates are at an all-time high. The most recent three-year cohort rate is 12.3 percent, which represents a 31 percent increase over the previous two years. If default rates surpass 15 percent the Department of Education will place restrictions on UAA.</w:t>
      </w:r>
    </w:p>
    <w:p w:rsidR="00C6714F" w:rsidRPr="0050439D" w:rsidRDefault="00C6714F" w:rsidP="00C6714F">
      <w:pPr>
        <w:pStyle w:val="ListParagraph"/>
        <w:numPr>
          <w:ilvl w:val="0"/>
          <w:numId w:val="7"/>
        </w:numPr>
        <w:rPr>
          <w:rFonts w:asciiTheme="minorHAnsi" w:hAnsiTheme="minorHAnsi"/>
          <w:sz w:val="24"/>
          <w:szCs w:val="24"/>
        </w:rPr>
      </w:pPr>
      <w:r w:rsidRPr="0050439D">
        <w:rPr>
          <w:rFonts w:asciiTheme="minorHAnsi" w:hAnsiTheme="minorHAnsi"/>
          <w:sz w:val="24"/>
          <w:szCs w:val="24"/>
        </w:rPr>
        <w:t>Lower UAA student indebtedness.</w:t>
      </w:r>
    </w:p>
    <w:p w:rsidR="00C6714F" w:rsidRPr="0050439D" w:rsidRDefault="00C6714F" w:rsidP="00C6714F">
      <w:pPr>
        <w:pStyle w:val="ListParagraph"/>
        <w:numPr>
          <w:ilvl w:val="0"/>
          <w:numId w:val="7"/>
        </w:numPr>
        <w:rPr>
          <w:rFonts w:asciiTheme="minorHAnsi" w:hAnsiTheme="minorHAnsi"/>
          <w:sz w:val="24"/>
          <w:szCs w:val="24"/>
        </w:rPr>
      </w:pPr>
      <w:r w:rsidRPr="0050439D">
        <w:rPr>
          <w:rFonts w:asciiTheme="minorHAnsi" w:hAnsiTheme="minorHAnsi"/>
          <w:sz w:val="24"/>
          <w:szCs w:val="24"/>
        </w:rPr>
        <w:t>Improved retention and graduation rates.</w:t>
      </w:r>
    </w:p>
    <w:p w:rsidR="00C6714F" w:rsidRPr="00573568" w:rsidRDefault="00C6714F" w:rsidP="00C6714F">
      <w:pPr>
        <w:pStyle w:val="ListParagraph"/>
        <w:rPr>
          <w:rFonts w:asciiTheme="minorHAnsi" w:hAnsiTheme="minorHAnsi"/>
          <w:sz w:val="24"/>
          <w:szCs w:val="24"/>
        </w:rPr>
      </w:pPr>
    </w:p>
    <w:p w:rsidR="00C6714F" w:rsidRPr="00573568" w:rsidRDefault="00C6714F" w:rsidP="00C6714F">
      <w:pPr>
        <w:rPr>
          <w:rFonts w:asciiTheme="minorHAnsi" w:hAnsiTheme="minorHAnsi"/>
          <w:sz w:val="24"/>
          <w:szCs w:val="24"/>
        </w:rPr>
      </w:pPr>
      <w:r w:rsidRPr="00573568">
        <w:rPr>
          <w:rFonts w:asciiTheme="minorHAnsi" w:hAnsiTheme="minorHAnsi"/>
          <w:sz w:val="24"/>
          <w:szCs w:val="24"/>
        </w:rPr>
        <w:t>This initiative advances three themes in Shaping Alaska’s Future:</w:t>
      </w:r>
    </w:p>
    <w:p w:rsidR="00C6714F" w:rsidRPr="0050439D" w:rsidRDefault="00C6714F" w:rsidP="00C6714F">
      <w:pPr>
        <w:pStyle w:val="ListParagraph"/>
        <w:numPr>
          <w:ilvl w:val="0"/>
          <w:numId w:val="8"/>
        </w:numPr>
        <w:rPr>
          <w:rFonts w:asciiTheme="minorHAnsi" w:hAnsiTheme="minorHAnsi"/>
          <w:bCs/>
          <w:sz w:val="24"/>
          <w:szCs w:val="24"/>
        </w:rPr>
      </w:pPr>
      <w:r w:rsidRPr="0050439D">
        <w:rPr>
          <w:rFonts w:asciiTheme="minorHAnsi" w:hAnsiTheme="minorHAnsi"/>
          <w:sz w:val="24"/>
          <w:szCs w:val="24"/>
        </w:rPr>
        <w:t>Student Achievement and Attainment by supporting access, retention, and graduation. Students that budget and borrow appropriately avoid financial stress and are more likely to succeed, persist and graduate.</w:t>
      </w:r>
    </w:p>
    <w:p w:rsidR="00C6714F" w:rsidRPr="0050439D" w:rsidRDefault="00C6714F" w:rsidP="00C6714F">
      <w:pPr>
        <w:pStyle w:val="ListParagraph"/>
        <w:numPr>
          <w:ilvl w:val="0"/>
          <w:numId w:val="8"/>
        </w:numPr>
        <w:rPr>
          <w:rFonts w:asciiTheme="minorHAnsi" w:hAnsiTheme="minorHAnsi"/>
          <w:sz w:val="24"/>
          <w:szCs w:val="24"/>
        </w:rPr>
      </w:pPr>
      <w:r w:rsidRPr="0050439D">
        <w:rPr>
          <w:rFonts w:asciiTheme="minorHAnsi" w:hAnsiTheme="minorHAnsi"/>
          <w:sz w:val="24"/>
          <w:szCs w:val="24"/>
        </w:rPr>
        <w:t>Research and Development to Sustain Alaska’s Communities and Economic Growth by promoting access, attainment, and reduced indebtedness – which increases buying power and professional flexibility after graduation.</w:t>
      </w:r>
    </w:p>
    <w:p w:rsidR="00C6714F" w:rsidRPr="0050439D" w:rsidRDefault="00C6714F" w:rsidP="00C6714F">
      <w:pPr>
        <w:pStyle w:val="ListParagraph"/>
        <w:numPr>
          <w:ilvl w:val="0"/>
          <w:numId w:val="8"/>
        </w:numPr>
        <w:rPr>
          <w:rFonts w:asciiTheme="minorHAnsi" w:hAnsiTheme="minorHAnsi"/>
          <w:sz w:val="24"/>
          <w:szCs w:val="24"/>
        </w:rPr>
      </w:pPr>
      <w:r w:rsidRPr="0050439D">
        <w:rPr>
          <w:rFonts w:asciiTheme="minorHAnsi" w:hAnsiTheme="minorHAnsi"/>
          <w:sz w:val="24"/>
          <w:szCs w:val="24"/>
        </w:rPr>
        <w:t>Accountability to the People of Alaska through better stewardship of public funds dedicated to financial aid and compliance with loan counseling regulations.</w:t>
      </w:r>
    </w:p>
    <w:p w:rsidR="00C6714F" w:rsidRDefault="00C6714F" w:rsidP="00C6714F">
      <w:pPr>
        <w:pStyle w:val="NoSpacing"/>
        <w:rPr>
          <w:b/>
          <w:sz w:val="24"/>
          <w:szCs w:val="24"/>
        </w:rPr>
      </w:pPr>
    </w:p>
    <w:p w:rsidR="00263244" w:rsidRDefault="00263244" w:rsidP="00BC50BE">
      <w:pPr>
        <w:rPr>
          <w:rFonts w:asciiTheme="minorHAnsi" w:hAnsiTheme="minorHAnsi"/>
          <w:b/>
          <w:sz w:val="28"/>
          <w:szCs w:val="24"/>
        </w:rPr>
      </w:pPr>
      <w:r w:rsidRPr="00115EC9">
        <w:rPr>
          <w:rFonts w:asciiTheme="minorHAnsi" w:hAnsiTheme="minorHAnsi"/>
          <w:b/>
          <w:sz w:val="28"/>
          <w:szCs w:val="24"/>
        </w:rPr>
        <w:t>Real-time Communication Access for Students with Disabilities</w:t>
      </w:r>
      <w:r w:rsidR="00097FAA">
        <w:rPr>
          <w:rFonts w:asciiTheme="minorHAnsi" w:hAnsiTheme="minorHAnsi"/>
          <w:b/>
          <w:sz w:val="28"/>
          <w:szCs w:val="24"/>
        </w:rPr>
        <w:t>,</w:t>
      </w:r>
      <w:r w:rsidR="00FF1553" w:rsidRPr="00115EC9">
        <w:rPr>
          <w:rFonts w:asciiTheme="minorHAnsi" w:hAnsiTheme="minorHAnsi"/>
          <w:b/>
          <w:sz w:val="28"/>
          <w:szCs w:val="24"/>
        </w:rPr>
        <w:t xml:space="preserve"> $90.0 GF</w:t>
      </w:r>
    </w:p>
    <w:p w:rsidR="00C6714F" w:rsidRPr="00992698" w:rsidRDefault="00C6714F" w:rsidP="00C6714F">
      <w:pPr>
        <w:rPr>
          <w:rFonts w:asciiTheme="minorHAnsi" w:hAnsiTheme="minorHAnsi"/>
          <w:b/>
          <w:sz w:val="24"/>
          <w:szCs w:val="24"/>
        </w:rPr>
      </w:pPr>
      <w:r w:rsidRPr="00992698">
        <w:rPr>
          <w:rFonts w:asciiTheme="minorHAnsi" w:hAnsiTheme="minorHAnsi"/>
          <w:b/>
          <w:sz w:val="24"/>
          <w:szCs w:val="24"/>
        </w:rPr>
        <w:t xml:space="preserve">Shaping Alaska’s Future Theme/Issue: </w:t>
      </w:r>
      <w:r>
        <w:rPr>
          <w:rFonts w:asciiTheme="minorHAnsi" w:hAnsiTheme="minorHAnsi"/>
          <w:b/>
          <w:sz w:val="24"/>
          <w:szCs w:val="24"/>
        </w:rPr>
        <w:t>1A/B</w:t>
      </w:r>
    </w:p>
    <w:p w:rsidR="00C6714F" w:rsidRPr="00992698" w:rsidRDefault="00C6714F" w:rsidP="00C6714F">
      <w:pPr>
        <w:rPr>
          <w:rFonts w:asciiTheme="minorHAnsi" w:hAnsiTheme="minorHAnsi"/>
          <w:b/>
          <w:sz w:val="24"/>
          <w:szCs w:val="24"/>
        </w:rPr>
      </w:pPr>
      <w:r w:rsidRPr="00992698">
        <w:rPr>
          <w:rFonts w:asciiTheme="minorHAnsi" w:hAnsiTheme="minorHAnsi"/>
          <w:b/>
          <w:sz w:val="24"/>
          <w:szCs w:val="24"/>
        </w:rPr>
        <w:t xml:space="preserve">Positions: </w:t>
      </w:r>
      <w:r w:rsidR="00E40E90">
        <w:rPr>
          <w:rFonts w:asciiTheme="minorHAnsi" w:hAnsiTheme="minorHAnsi"/>
          <w:b/>
          <w:sz w:val="24"/>
          <w:szCs w:val="24"/>
        </w:rPr>
        <w:t xml:space="preserve">interpreters hired through </w:t>
      </w:r>
      <w:r w:rsidR="007D4095">
        <w:rPr>
          <w:rFonts w:asciiTheme="minorHAnsi" w:hAnsiTheme="minorHAnsi"/>
          <w:b/>
          <w:sz w:val="24"/>
          <w:szCs w:val="24"/>
        </w:rPr>
        <w:t>professional services contracts, adjuncts</w:t>
      </w:r>
    </w:p>
    <w:p w:rsidR="00321BB9" w:rsidRPr="00573568" w:rsidRDefault="00321BB9" w:rsidP="00321BB9">
      <w:pPr>
        <w:rPr>
          <w:rFonts w:asciiTheme="minorHAnsi" w:hAnsiTheme="minorHAnsi"/>
          <w:sz w:val="24"/>
          <w:szCs w:val="24"/>
        </w:rPr>
      </w:pPr>
      <w:r w:rsidRPr="00573568">
        <w:rPr>
          <w:rFonts w:asciiTheme="minorHAnsi" w:hAnsiTheme="minorHAnsi"/>
          <w:sz w:val="24"/>
          <w:szCs w:val="24"/>
        </w:rPr>
        <w:t>Since FY13, UAA Disability Support Services</w:t>
      </w:r>
      <w:r>
        <w:rPr>
          <w:rFonts w:asciiTheme="minorHAnsi" w:hAnsiTheme="minorHAnsi"/>
          <w:sz w:val="24"/>
          <w:szCs w:val="24"/>
        </w:rPr>
        <w:t xml:space="preserve"> (DSS)</w:t>
      </w:r>
      <w:r w:rsidRPr="00573568">
        <w:rPr>
          <w:rFonts w:asciiTheme="minorHAnsi" w:hAnsiTheme="minorHAnsi"/>
          <w:sz w:val="24"/>
          <w:szCs w:val="24"/>
        </w:rPr>
        <w:t xml:space="preserve"> has experienced dramatic increase in the demand for communication access as a disability related accommodation.  DSS’ interpreting services budget is funded to provide approximately 3,000 billable hours annually.  </w:t>
      </w:r>
      <w:r w:rsidR="00097FAA" w:rsidRPr="00573568">
        <w:rPr>
          <w:rFonts w:asciiTheme="minorHAnsi" w:hAnsiTheme="minorHAnsi"/>
          <w:sz w:val="24"/>
          <w:szCs w:val="24"/>
        </w:rPr>
        <w:t>Whereas</w:t>
      </w:r>
      <w:r w:rsidRPr="00573568">
        <w:rPr>
          <w:rFonts w:asciiTheme="minorHAnsi" w:hAnsiTheme="minorHAnsi"/>
          <w:sz w:val="24"/>
          <w:szCs w:val="24"/>
        </w:rPr>
        <w:t>, in FY14, DSS provided 5,363 billable hours creating $80.3K deficit.  The reasons for the significant demand and cost escalation is: (1) increased rates among contract service providers, (2) retaining more students into upper division courses, (3) and more students taking distance learning courses and increased instructor required out–of-classroom learning activities, which require greater individualized interpreting time and therefore expense.  As seen nationally, the increased demand for interpreting services is expected to continue.</w:t>
      </w:r>
    </w:p>
    <w:p w:rsidR="00321BB9" w:rsidRDefault="00321BB9" w:rsidP="00BC50BE">
      <w:pPr>
        <w:rPr>
          <w:rFonts w:asciiTheme="minorHAnsi" w:hAnsiTheme="minorHAnsi"/>
          <w:sz w:val="24"/>
          <w:szCs w:val="24"/>
        </w:rPr>
      </w:pPr>
    </w:p>
    <w:p w:rsidR="00263244" w:rsidRPr="00573568" w:rsidRDefault="00263244" w:rsidP="00BC50BE">
      <w:pPr>
        <w:rPr>
          <w:rFonts w:asciiTheme="minorHAnsi" w:hAnsiTheme="minorHAnsi"/>
          <w:sz w:val="24"/>
          <w:szCs w:val="24"/>
        </w:rPr>
      </w:pPr>
      <w:r w:rsidRPr="00573568">
        <w:rPr>
          <w:rFonts w:asciiTheme="minorHAnsi" w:hAnsiTheme="minorHAnsi"/>
          <w:sz w:val="24"/>
          <w:szCs w:val="24"/>
        </w:rPr>
        <w:lastRenderedPageBreak/>
        <w:t xml:space="preserve">Providing reasonable accommodation for otherwise qualified students with documented disabilities is a requirement under Section 504 of the Rehabilitation Act of 1973 and the Americans with Disabilities Act of 1990.  </w:t>
      </w:r>
      <w:r w:rsidR="00321BB9">
        <w:rPr>
          <w:rFonts w:asciiTheme="minorHAnsi" w:hAnsiTheme="minorHAnsi"/>
          <w:sz w:val="24"/>
          <w:szCs w:val="24"/>
        </w:rPr>
        <w:t>UAA DSS</w:t>
      </w:r>
      <w:r w:rsidRPr="00573568">
        <w:rPr>
          <w:rFonts w:asciiTheme="minorHAnsi" w:hAnsiTheme="minorHAnsi"/>
          <w:sz w:val="24"/>
          <w:szCs w:val="24"/>
        </w:rPr>
        <w:t xml:space="preserve"> is charged with providing academic adjustments for all qualified students with documented disabilities who make reasonable requests for accommodation.</w:t>
      </w:r>
    </w:p>
    <w:p w:rsidR="00263244" w:rsidRPr="00573568" w:rsidRDefault="00263244" w:rsidP="00BC50BE">
      <w:pPr>
        <w:rPr>
          <w:rFonts w:asciiTheme="minorHAnsi" w:hAnsiTheme="minorHAnsi"/>
          <w:sz w:val="24"/>
          <w:szCs w:val="24"/>
        </w:rPr>
      </w:pPr>
    </w:p>
    <w:p w:rsidR="00263244" w:rsidRPr="00573568" w:rsidRDefault="00263244" w:rsidP="00BC50BE">
      <w:pPr>
        <w:rPr>
          <w:rFonts w:asciiTheme="minorHAnsi" w:hAnsiTheme="minorHAnsi"/>
          <w:sz w:val="24"/>
          <w:szCs w:val="24"/>
        </w:rPr>
      </w:pPr>
      <w:r w:rsidRPr="00573568">
        <w:rPr>
          <w:rFonts w:asciiTheme="minorHAnsi" w:hAnsiTheme="minorHAnsi"/>
          <w:sz w:val="24"/>
          <w:szCs w:val="24"/>
        </w:rPr>
        <w:t>While DSS provides a wide range of support services, some of the accommodation needs of the Deaf and Hard of Hearing population have an especially dramatic impact on budget.  Most students with hearing loss require real-time communication access strategies, which are most often American Sign Language (ASL) Interpreters.  Interpreters typically work in pairs, with each well-credentialed independent contractor earning $50 per hour with minimum hour requirements regardless of assignment.</w:t>
      </w:r>
    </w:p>
    <w:p w:rsidR="00263244" w:rsidRPr="00573568" w:rsidRDefault="00263244" w:rsidP="00BC50BE">
      <w:pPr>
        <w:rPr>
          <w:rFonts w:asciiTheme="minorHAnsi" w:hAnsiTheme="minorHAnsi"/>
          <w:sz w:val="24"/>
          <w:szCs w:val="24"/>
        </w:rPr>
      </w:pPr>
    </w:p>
    <w:p w:rsidR="00263244" w:rsidRPr="00573568" w:rsidRDefault="00263244" w:rsidP="00BC50BE">
      <w:pPr>
        <w:rPr>
          <w:rFonts w:asciiTheme="minorHAnsi" w:hAnsiTheme="minorHAnsi"/>
          <w:sz w:val="24"/>
          <w:szCs w:val="24"/>
        </w:rPr>
      </w:pPr>
      <w:r w:rsidRPr="00573568">
        <w:rPr>
          <w:rFonts w:asciiTheme="minorHAnsi" w:hAnsiTheme="minorHAnsi"/>
          <w:sz w:val="24"/>
          <w:szCs w:val="24"/>
        </w:rPr>
        <w:t>$90K GF is requested to ensure UAA Disability Support Services meets it’s federally mandated obligations to students who are Deaf or Hard of Hearing.  Failure to adequately fund appropriate and timely accommodation of students puts the institution at risk for violation of the law.  This request clearly contributes to Shaping Alaska’s Future Theme 1: Student Achievement and Attainment as students with disabilities will not be successful in their academic pursuits if the institution is not able to mediate barriers by implementing appropriate accommodation in a timely manner.</w:t>
      </w:r>
    </w:p>
    <w:p w:rsidR="007E1676" w:rsidRPr="00573568" w:rsidRDefault="007E1676" w:rsidP="00BC50BE">
      <w:pPr>
        <w:rPr>
          <w:rFonts w:asciiTheme="minorHAnsi" w:hAnsiTheme="minorHAnsi"/>
          <w:b/>
          <w:sz w:val="24"/>
          <w:szCs w:val="24"/>
        </w:rPr>
      </w:pPr>
    </w:p>
    <w:p w:rsidR="002419A0" w:rsidRDefault="002419A0" w:rsidP="00BC50BE">
      <w:pPr>
        <w:rPr>
          <w:rFonts w:asciiTheme="minorHAnsi" w:hAnsiTheme="minorHAnsi"/>
          <w:b/>
          <w:sz w:val="28"/>
          <w:szCs w:val="24"/>
        </w:rPr>
      </w:pPr>
    </w:p>
    <w:p w:rsidR="0013416E" w:rsidRDefault="0013416E"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E1676" w:rsidRPr="00534907" w:rsidRDefault="00317660"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Research to En</w:t>
      </w:r>
      <w:r w:rsidR="00B64D94"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hance Alaska Communitie</w:t>
      </w:r>
      <w:r w:rsidR="00132074"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 Increment </w:t>
      </w:r>
    </w:p>
    <w:p w:rsidR="007E1676" w:rsidRDefault="007E1676" w:rsidP="00BC50BE">
      <w:pPr>
        <w:pStyle w:val="NoSpacing"/>
        <w:rPr>
          <w:b/>
          <w:sz w:val="24"/>
          <w:szCs w:val="24"/>
        </w:rPr>
      </w:pPr>
    </w:p>
    <w:p w:rsidR="00F31590" w:rsidRDefault="00DA2B44" w:rsidP="00F31590">
      <w:pPr>
        <w:rPr>
          <w:rFonts w:asciiTheme="minorHAnsi" w:hAnsiTheme="minorHAnsi" w:cstheme="minorBidi"/>
          <w:b/>
          <w:sz w:val="28"/>
          <w:szCs w:val="24"/>
        </w:rPr>
      </w:pPr>
      <w:r>
        <w:rPr>
          <w:rFonts w:asciiTheme="minorHAnsi" w:hAnsiTheme="minorHAnsi" w:cstheme="minorBidi"/>
          <w:b/>
          <w:sz w:val="28"/>
          <w:szCs w:val="24"/>
        </w:rPr>
        <w:t>Innovation and Commercialization Prototype Development</w:t>
      </w:r>
      <w:r w:rsidR="00304E2D">
        <w:rPr>
          <w:rFonts w:asciiTheme="minorHAnsi" w:hAnsiTheme="minorHAnsi" w:cstheme="minorBidi"/>
          <w:b/>
          <w:sz w:val="28"/>
          <w:szCs w:val="24"/>
        </w:rPr>
        <w:t xml:space="preserve">, </w:t>
      </w:r>
      <w:r w:rsidR="00F31590" w:rsidRPr="00115EC9">
        <w:rPr>
          <w:rFonts w:asciiTheme="minorHAnsi" w:hAnsiTheme="minorHAnsi" w:cstheme="minorBidi"/>
          <w:b/>
          <w:sz w:val="28"/>
          <w:szCs w:val="24"/>
        </w:rPr>
        <w:t>$100.0 GF</w:t>
      </w:r>
    </w:p>
    <w:p w:rsidR="00B5166B" w:rsidRPr="00992698" w:rsidRDefault="00B5166B" w:rsidP="00B5166B">
      <w:pPr>
        <w:rPr>
          <w:rFonts w:asciiTheme="minorHAnsi" w:hAnsiTheme="minorHAnsi"/>
          <w:b/>
          <w:sz w:val="24"/>
          <w:szCs w:val="24"/>
        </w:rPr>
      </w:pPr>
      <w:r w:rsidRPr="00992698">
        <w:rPr>
          <w:rFonts w:asciiTheme="minorHAnsi" w:hAnsiTheme="minorHAnsi"/>
          <w:b/>
          <w:sz w:val="24"/>
          <w:szCs w:val="24"/>
        </w:rPr>
        <w:t>Shaping Alaska’s Future Theme/Issue:</w:t>
      </w:r>
      <w:r w:rsidR="00DA2B44">
        <w:rPr>
          <w:rFonts w:asciiTheme="minorHAnsi" w:hAnsiTheme="minorHAnsi"/>
          <w:b/>
          <w:sz w:val="24"/>
          <w:szCs w:val="24"/>
        </w:rPr>
        <w:t xml:space="preserve"> 3A/C,</w:t>
      </w:r>
      <w:r w:rsidRPr="00992698">
        <w:rPr>
          <w:rFonts w:asciiTheme="minorHAnsi" w:hAnsiTheme="minorHAnsi"/>
          <w:b/>
          <w:sz w:val="24"/>
          <w:szCs w:val="24"/>
        </w:rPr>
        <w:t xml:space="preserve"> </w:t>
      </w:r>
      <w:r w:rsidR="00627C8F">
        <w:rPr>
          <w:rFonts w:asciiTheme="minorHAnsi" w:hAnsiTheme="minorHAnsi"/>
          <w:b/>
          <w:sz w:val="24"/>
          <w:szCs w:val="24"/>
        </w:rPr>
        <w:t>4A</w:t>
      </w:r>
      <w:r>
        <w:rPr>
          <w:rFonts w:asciiTheme="minorHAnsi" w:hAnsiTheme="minorHAnsi"/>
          <w:b/>
          <w:sz w:val="24"/>
          <w:szCs w:val="24"/>
        </w:rPr>
        <w:t>/</w:t>
      </w:r>
      <w:r w:rsidR="0016648C">
        <w:rPr>
          <w:rFonts w:asciiTheme="minorHAnsi" w:hAnsiTheme="minorHAnsi"/>
          <w:b/>
          <w:sz w:val="24"/>
          <w:szCs w:val="24"/>
        </w:rPr>
        <w:t>C/D/</w:t>
      </w:r>
      <w:r>
        <w:rPr>
          <w:rFonts w:asciiTheme="minorHAnsi" w:hAnsiTheme="minorHAnsi"/>
          <w:b/>
          <w:sz w:val="24"/>
          <w:szCs w:val="24"/>
        </w:rPr>
        <w:t>E</w:t>
      </w:r>
    </w:p>
    <w:p w:rsidR="00DA2B44" w:rsidRPr="0013416E" w:rsidRDefault="00DA2B44" w:rsidP="00DA2B44">
      <w:pPr>
        <w:rPr>
          <w:rFonts w:asciiTheme="minorHAnsi" w:hAnsiTheme="minorHAnsi"/>
          <w:sz w:val="24"/>
          <w:szCs w:val="24"/>
        </w:rPr>
      </w:pPr>
      <w:r w:rsidRPr="0013416E">
        <w:rPr>
          <w:rFonts w:asciiTheme="minorHAnsi" w:hAnsiTheme="minorHAnsi"/>
          <w:sz w:val="24"/>
          <w:szCs w:val="24"/>
        </w:rPr>
        <w:t xml:space="preserve">UAA’s new commercialization structure has led to a significant increase in intellectual property (IP) and the formation of UAA’s first startups. In August 2012 the VPRGS created a structure that was approved by the University of Alaska Board of Regents to </w:t>
      </w:r>
      <w:r w:rsidRPr="0013416E">
        <w:rPr>
          <w:rFonts w:asciiTheme="minorHAnsi" w:hAnsiTheme="minorHAnsi"/>
          <w:bCs/>
          <w:sz w:val="24"/>
          <w:szCs w:val="24"/>
        </w:rPr>
        <w:t xml:space="preserve">leverage faculty and student research for economic growth, build successful start-ups domiciled in Alaska, partner with existing companies, and use commercialization to attract and retain innovation leaders, and investors to Alaska. This led to the formation of Seawolf Holdings, LLC, to provide a corporate interface between UAA and its enterprise companies.  It has a world-class board of directors with the VPRGS as the President. Also </w:t>
      </w:r>
      <w:r w:rsidRPr="0013416E">
        <w:rPr>
          <w:rFonts w:asciiTheme="minorHAnsi" w:hAnsiTheme="minorHAnsi"/>
          <w:sz w:val="24"/>
          <w:szCs w:val="24"/>
        </w:rPr>
        <w:t xml:space="preserve">Seawolf Venture Fund, LP was formed to provide early stage funding to startups created by UAA and its affiliates. To inspire innovation the VPRGS established the Innovate Awards, which have achieved over a 3:1 ROI from external research funding, and the Patent Wall of Fame. </w:t>
      </w:r>
      <w:r w:rsidRPr="0013416E">
        <w:rPr>
          <w:rFonts w:asciiTheme="minorHAnsi" w:hAnsiTheme="minorHAnsi"/>
          <w:bCs/>
          <w:iCs/>
          <w:sz w:val="24"/>
          <w:szCs w:val="24"/>
        </w:rPr>
        <w:t xml:space="preserve">These together with the commercialization structure have contributed to </w:t>
      </w:r>
      <w:r w:rsidRPr="0013416E">
        <w:rPr>
          <w:rFonts w:asciiTheme="minorHAnsi" w:hAnsiTheme="minorHAnsi"/>
          <w:sz w:val="24"/>
          <w:szCs w:val="24"/>
        </w:rPr>
        <w:t>a significant growth in UAA’s IP since FY 11. UAA now has a total of 36 invention disclosures (up from 3 in FY11); 14 patents pending (up from 1 in FY 11); and 4 patents issued (up from 1 in FY 1</w:t>
      </w:r>
      <w:r w:rsidR="005C556D" w:rsidRPr="0013416E">
        <w:rPr>
          <w:rFonts w:asciiTheme="minorHAnsi" w:hAnsiTheme="minorHAnsi"/>
          <w:sz w:val="24"/>
          <w:szCs w:val="24"/>
        </w:rPr>
        <w:t>1). Also, UAA’s first two start-</w:t>
      </w:r>
      <w:r w:rsidRPr="0013416E">
        <w:rPr>
          <w:rFonts w:asciiTheme="minorHAnsi" w:hAnsiTheme="minorHAnsi"/>
          <w:sz w:val="24"/>
          <w:szCs w:val="24"/>
        </w:rPr>
        <w:t xml:space="preserve">up companies were formed in in 2013 – Zensor, LLC; and CFT Solutions, LLC; and UAA started to receive revenue from a license agreement ($16K to date). More opportunities are in development. </w:t>
      </w:r>
    </w:p>
    <w:p w:rsidR="00DA2B44" w:rsidRPr="0013416E" w:rsidRDefault="00DA2B44" w:rsidP="00DA2B44">
      <w:pPr>
        <w:rPr>
          <w:rFonts w:asciiTheme="minorHAnsi" w:hAnsiTheme="minorHAnsi"/>
          <w:sz w:val="24"/>
          <w:szCs w:val="24"/>
        </w:rPr>
      </w:pPr>
    </w:p>
    <w:p w:rsidR="00DA2B44" w:rsidRPr="0013416E" w:rsidRDefault="00DA2B44" w:rsidP="00DA2B44">
      <w:pPr>
        <w:rPr>
          <w:rFonts w:asciiTheme="minorHAnsi" w:hAnsiTheme="minorHAnsi"/>
          <w:bCs/>
          <w:sz w:val="24"/>
          <w:szCs w:val="24"/>
        </w:rPr>
      </w:pPr>
      <w:r w:rsidRPr="0013416E">
        <w:rPr>
          <w:rFonts w:asciiTheme="minorHAnsi" w:hAnsiTheme="minorHAnsi"/>
          <w:sz w:val="24"/>
          <w:szCs w:val="24"/>
        </w:rPr>
        <w:t xml:space="preserve">To leverage this growth and maximize its contribution to economic development </w:t>
      </w:r>
      <w:r w:rsidRPr="0013416E">
        <w:rPr>
          <w:rFonts w:asciiTheme="minorHAnsi" w:hAnsiTheme="minorHAnsi"/>
          <w:bCs/>
          <w:sz w:val="24"/>
          <w:szCs w:val="24"/>
        </w:rPr>
        <w:t xml:space="preserve">requires building prototypes. These are often required for a licensing agreement; and are necessary for investment in a startup. Not having the funding for prototype development can hinder this significant growth in innovation that is a critical element to Alaska’s economic development. </w:t>
      </w:r>
      <w:r w:rsidRPr="0013416E">
        <w:rPr>
          <w:rFonts w:asciiTheme="minorHAnsi" w:hAnsiTheme="minorHAnsi"/>
          <w:sz w:val="24"/>
          <w:szCs w:val="24"/>
        </w:rPr>
        <w:t xml:space="preserve">Therefore, we request $100K </w:t>
      </w:r>
      <w:r w:rsidRPr="0013416E">
        <w:rPr>
          <w:rFonts w:asciiTheme="minorHAnsi" w:hAnsiTheme="minorHAnsi"/>
          <w:sz w:val="24"/>
          <w:szCs w:val="24"/>
        </w:rPr>
        <w:lastRenderedPageBreak/>
        <w:t xml:space="preserve">to cover the cost of materials, and labor for prototype development, and fees for organizations to broker licensing deals. </w:t>
      </w:r>
      <w:r w:rsidRPr="0013416E">
        <w:rPr>
          <w:rFonts w:asciiTheme="minorHAnsi" w:hAnsiTheme="minorHAnsi"/>
          <w:bCs/>
          <w:sz w:val="24"/>
          <w:szCs w:val="24"/>
        </w:rPr>
        <w:t xml:space="preserve">In the states with the most innovation and successful economic development (REF: “Life Sciences Cluster Report,” Jones Lang Lasalle), universities play a key role and are funded by the state to do so.  Universities are a good investment for economic growth </w:t>
      </w:r>
      <w:r w:rsidRPr="0013416E">
        <w:rPr>
          <w:rFonts w:asciiTheme="minorHAnsi" w:hAnsiTheme="minorHAnsi"/>
          <w:sz w:val="24"/>
          <w:szCs w:val="24"/>
        </w:rPr>
        <w:t xml:space="preserve">– ref. 2012 AUTM report – they provided </w:t>
      </w:r>
      <w:r w:rsidRPr="0013416E">
        <w:rPr>
          <w:rFonts w:asciiTheme="minorHAnsi" w:hAnsiTheme="minorHAnsi"/>
          <w:bCs/>
          <w:sz w:val="24"/>
          <w:szCs w:val="24"/>
        </w:rPr>
        <w:t>$36.8 billion in product sales in 2012 and their startups were up 13.8%</w:t>
      </w:r>
      <w:r w:rsidRPr="0013416E">
        <w:rPr>
          <w:rFonts w:asciiTheme="minorHAnsi" w:hAnsiTheme="minorHAnsi"/>
          <w:sz w:val="24"/>
          <w:szCs w:val="24"/>
        </w:rPr>
        <w:t xml:space="preserve">. </w:t>
      </w:r>
      <w:r w:rsidRPr="0013416E">
        <w:rPr>
          <w:rFonts w:asciiTheme="minorHAnsi" w:hAnsiTheme="minorHAnsi"/>
          <w:bCs/>
          <w:sz w:val="24"/>
          <w:szCs w:val="24"/>
        </w:rPr>
        <w:t>Alaska can leverage UAA’s commercial base for economic growth</w:t>
      </w:r>
      <w:r w:rsidRPr="0013416E">
        <w:rPr>
          <w:rFonts w:asciiTheme="minorHAnsi" w:hAnsiTheme="minorHAnsi"/>
          <w:sz w:val="24"/>
          <w:szCs w:val="24"/>
        </w:rPr>
        <w:t xml:space="preserve">, to attract &amp; retain talent, companies and investors. </w:t>
      </w:r>
    </w:p>
    <w:p w:rsidR="001C7870" w:rsidRPr="00573568" w:rsidRDefault="001C7870" w:rsidP="00BC50BE">
      <w:pPr>
        <w:pStyle w:val="NoSpacing"/>
        <w:rPr>
          <w:b/>
          <w:sz w:val="24"/>
          <w:szCs w:val="24"/>
          <w:highlight w:val="yellow"/>
        </w:rPr>
      </w:pPr>
    </w:p>
    <w:p w:rsidR="006E6E8A" w:rsidRDefault="006E6E8A" w:rsidP="006E6E8A">
      <w:pPr>
        <w:widowControl w:val="0"/>
        <w:autoSpaceDE w:val="0"/>
        <w:autoSpaceDN w:val="0"/>
        <w:adjustRightInd w:val="0"/>
        <w:rPr>
          <w:rFonts w:asciiTheme="minorHAnsi" w:hAnsiTheme="minorHAnsi" w:cs="Times"/>
          <w:b/>
          <w:sz w:val="28"/>
          <w:szCs w:val="24"/>
          <w:lang w:eastAsia="ja-JP"/>
        </w:rPr>
      </w:pPr>
      <w:r w:rsidRPr="00115EC9">
        <w:rPr>
          <w:rFonts w:asciiTheme="minorHAnsi" w:hAnsiTheme="minorHAnsi" w:cs="Times"/>
          <w:b/>
          <w:sz w:val="28"/>
          <w:szCs w:val="24"/>
          <w:lang w:eastAsia="ja-JP"/>
        </w:rPr>
        <w:t>Center for Research and Alaska Native Education (CRANE)</w:t>
      </w:r>
      <w:r w:rsidR="00097FAA">
        <w:rPr>
          <w:rFonts w:asciiTheme="minorHAnsi" w:hAnsiTheme="minorHAnsi" w:cs="Times"/>
          <w:b/>
          <w:sz w:val="28"/>
          <w:szCs w:val="24"/>
          <w:lang w:eastAsia="ja-JP"/>
        </w:rPr>
        <w:t>,</w:t>
      </w:r>
      <w:r w:rsidRPr="00115EC9">
        <w:rPr>
          <w:rFonts w:asciiTheme="minorHAnsi" w:hAnsiTheme="minorHAnsi" w:cs="Times"/>
          <w:b/>
          <w:sz w:val="28"/>
          <w:szCs w:val="24"/>
          <w:lang w:eastAsia="ja-JP"/>
        </w:rPr>
        <w:t xml:space="preserve"> $100.0 GF</w:t>
      </w:r>
    </w:p>
    <w:p w:rsidR="006E6E8A" w:rsidRPr="00992698" w:rsidRDefault="006E6E8A" w:rsidP="006E6E8A">
      <w:pPr>
        <w:rPr>
          <w:rFonts w:asciiTheme="minorHAnsi" w:hAnsiTheme="minorHAnsi"/>
          <w:b/>
          <w:sz w:val="24"/>
          <w:szCs w:val="24"/>
        </w:rPr>
      </w:pPr>
      <w:r w:rsidRPr="00992698">
        <w:rPr>
          <w:rFonts w:asciiTheme="minorHAnsi" w:hAnsiTheme="minorHAnsi"/>
          <w:b/>
          <w:sz w:val="24"/>
          <w:szCs w:val="24"/>
        </w:rPr>
        <w:t xml:space="preserve">Shaping Alaska’s Future Theme/Issue: </w:t>
      </w:r>
      <w:r>
        <w:rPr>
          <w:rFonts w:asciiTheme="minorHAnsi" w:hAnsiTheme="minorHAnsi"/>
          <w:b/>
          <w:sz w:val="24"/>
          <w:szCs w:val="24"/>
        </w:rPr>
        <w:t>1D/E/F, 4A/B/E</w:t>
      </w:r>
    </w:p>
    <w:p w:rsidR="006E6E8A" w:rsidRPr="00992698" w:rsidRDefault="006742EB" w:rsidP="006E6E8A">
      <w:pPr>
        <w:rPr>
          <w:rFonts w:asciiTheme="minorHAnsi" w:hAnsiTheme="minorHAnsi"/>
          <w:b/>
          <w:sz w:val="24"/>
          <w:szCs w:val="24"/>
        </w:rPr>
      </w:pPr>
      <w:r>
        <w:rPr>
          <w:rFonts w:asciiTheme="minorHAnsi" w:hAnsiTheme="minorHAnsi"/>
          <w:b/>
          <w:sz w:val="24"/>
          <w:szCs w:val="24"/>
        </w:rPr>
        <w:t>Position</w:t>
      </w:r>
      <w:r w:rsidR="006E6E8A" w:rsidRPr="00992698">
        <w:rPr>
          <w:rFonts w:asciiTheme="minorHAnsi" w:hAnsiTheme="minorHAnsi"/>
          <w:b/>
          <w:sz w:val="24"/>
          <w:szCs w:val="24"/>
        </w:rPr>
        <w:t xml:space="preserve">: </w:t>
      </w:r>
      <w:r w:rsidR="006E6E8A">
        <w:rPr>
          <w:rFonts w:asciiTheme="minorHAnsi" w:hAnsiTheme="minorHAnsi"/>
          <w:b/>
          <w:sz w:val="24"/>
          <w:szCs w:val="24"/>
        </w:rPr>
        <w:t xml:space="preserve">partial salary for Assistant Director </w:t>
      </w:r>
    </w:p>
    <w:p w:rsidR="006E6E8A" w:rsidRPr="00530D2F" w:rsidRDefault="006E6E8A" w:rsidP="006E6E8A">
      <w:pPr>
        <w:rPr>
          <w:sz w:val="24"/>
          <w:szCs w:val="24"/>
        </w:rPr>
      </w:pPr>
      <w:r w:rsidRPr="00530D2F">
        <w:rPr>
          <w:sz w:val="24"/>
          <w:szCs w:val="24"/>
        </w:rPr>
        <w:t>This Center is dedicated to the belief that a better future for Alaska Native peoples requires a transformation of current educational systems. Alaska Native cultures, societies, organizations and peoples bring thousands of years of knowledge, insights and understandings about the lands, waters, and dynamics of Alaska.  A transformation of the educational systems for Ala</w:t>
      </w:r>
      <w:r w:rsidR="00097FAA">
        <w:rPr>
          <w:sz w:val="24"/>
          <w:szCs w:val="24"/>
        </w:rPr>
        <w:t xml:space="preserve">ska Native students requires </w:t>
      </w:r>
      <w:r w:rsidRPr="00530D2F">
        <w:rPr>
          <w:sz w:val="24"/>
          <w:szCs w:val="24"/>
        </w:rPr>
        <w:t xml:space="preserve">integration and valuing of Alaska Native cultures and languages from preschool to graduate school.  The Center will serve as a space where graduate students, faculty, researchers, Alaska Native leaders and others dedicated to Alaska Native education and pedagogy can gather to imagine and shape systemic change through: </w:t>
      </w:r>
    </w:p>
    <w:p w:rsidR="006E6E8A" w:rsidRPr="00530D2F" w:rsidRDefault="006E6E8A" w:rsidP="006E6E8A">
      <w:pPr>
        <w:pStyle w:val="ListParagraph"/>
        <w:numPr>
          <w:ilvl w:val="0"/>
          <w:numId w:val="11"/>
        </w:numPr>
      </w:pPr>
      <w:r w:rsidRPr="00530D2F">
        <w:t>Promoting a better understanding of the opportunities and challenges for Alaska Native education.</w:t>
      </w:r>
    </w:p>
    <w:p w:rsidR="006E6E8A" w:rsidRPr="00530D2F" w:rsidRDefault="006E6E8A" w:rsidP="006E6E8A">
      <w:pPr>
        <w:pStyle w:val="ListParagraph"/>
        <w:numPr>
          <w:ilvl w:val="0"/>
          <w:numId w:val="11"/>
        </w:numPr>
      </w:pPr>
      <w:r w:rsidRPr="00530D2F">
        <w:t xml:space="preserve">Conducting useful and timely research on issues related to Alaska Native education and disseminating the results of that research. </w:t>
      </w:r>
    </w:p>
    <w:p w:rsidR="0013416E" w:rsidRPr="00530D2F" w:rsidRDefault="0013416E" w:rsidP="0013416E">
      <w:pPr>
        <w:pStyle w:val="ListParagraph"/>
        <w:numPr>
          <w:ilvl w:val="0"/>
          <w:numId w:val="11"/>
        </w:numPr>
      </w:pPr>
      <w:r w:rsidRPr="00530D2F">
        <w:t xml:space="preserve">Collecting and developing curricula for Alaska Native peoples, cultures and organizations that address perspectives, challenges, and issues. </w:t>
      </w:r>
    </w:p>
    <w:p w:rsidR="006E6E8A" w:rsidRPr="00530D2F" w:rsidRDefault="006E6E8A" w:rsidP="006E6E8A">
      <w:pPr>
        <w:pStyle w:val="ListParagraph"/>
        <w:numPr>
          <w:ilvl w:val="0"/>
          <w:numId w:val="11"/>
        </w:numPr>
      </w:pPr>
      <w:r w:rsidRPr="00530D2F">
        <w:t xml:space="preserve">Advocating for educational initiatives, ideas, and programs that will benefit Alaska Native education and the education of indigenous peoples worldwide. </w:t>
      </w:r>
    </w:p>
    <w:p w:rsidR="006E6E8A" w:rsidRPr="00530D2F" w:rsidRDefault="006E6E8A" w:rsidP="006E6E8A">
      <w:pPr>
        <w:pStyle w:val="ListParagraph"/>
        <w:numPr>
          <w:ilvl w:val="0"/>
          <w:numId w:val="11"/>
        </w:numPr>
      </w:pPr>
      <w:r w:rsidRPr="00530D2F">
        <w:t>Offering opportunities for graduate study for Alaska Native students.</w:t>
      </w:r>
    </w:p>
    <w:p w:rsidR="006E6E8A" w:rsidRPr="00530D2F" w:rsidRDefault="006E6E8A" w:rsidP="006E6E8A">
      <w:pPr>
        <w:pStyle w:val="ListParagraph"/>
        <w:numPr>
          <w:ilvl w:val="0"/>
          <w:numId w:val="11"/>
        </w:numPr>
      </w:pPr>
      <w:r w:rsidRPr="00530D2F">
        <w:t>Completing policy papers to better inform the direction and practice of Alaskan educators, politicians and policy makers.</w:t>
      </w:r>
    </w:p>
    <w:p w:rsidR="006E6E8A" w:rsidRDefault="006E6E8A" w:rsidP="006E6E8A">
      <w:pPr>
        <w:autoSpaceDE w:val="0"/>
        <w:autoSpaceDN w:val="0"/>
        <w:rPr>
          <w:sz w:val="24"/>
          <w:szCs w:val="24"/>
          <w:lang w:eastAsia="ja-JP"/>
        </w:rPr>
      </w:pPr>
      <w:r>
        <w:rPr>
          <w:sz w:val="24"/>
          <w:szCs w:val="24"/>
          <w:lang w:eastAsia="ja-JP"/>
        </w:rPr>
        <w:t xml:space="preserve">The Center has </w:t>
      </w:r>
      <w:r w:rsidR="0013416E">
        <w:rPr>
          <w:sz w:val="24"/>
          <w:szCs w:val="24"/>
          <w:lang w:eastAsia="ja-JP"/>
        </w:rPr>
        <w:t>supported</w:t>
      </w:r>
      <w:r>
        <w:rPr>
          <w:sz w:val="24"/>
          <w:szCs w:val="24"/>
          <w:lang w:eastAsia="ja-JP"/>
        </w:rPr>
        <w:t xml:space="preserve"> five graduate students this past year and together they have presented at local and national conferences, written papers for journals, essays for a book chapter and met with AK state senators and legislators to help lobby for the AK Na</w:t>
      </w:r>
      <w:r w:rsidR="0013416E">
        <w:rPr>
          <w:sz w:val="24"/>
          <w:szCs w:val="24"/>
          <w:lang w:eastAsia="ja-JP"/>
        </w:rPr>
        <w:t>tive Language Bill (HB 216).   G</w:t>
      </w:r>
      <w:r>
        <w:rPr>
          <w:sz w:val="24"/>
          <w:szCs w:val="24"/>
          <w:lang w:eastAsia="ja-JP"/>
        </w:rPr>
        <w:t xml:space="preserve">raduate students are working on individual research projects ranging from Native language instruction to Native identity in the urban setting. </w:t>
      </w:r>
      <w:r w:rsidR="0013416E">
        <w:rPr>
          <w:sz w:val="24"/>
          <w:szCs w:val="24"/>
          <w:lang w:eastAsia="ja-JP"/>
        </w:rPr>
        <w:t xml:space="preserve">Funding will support graduate student tuition waivers and partial salary for an Assistant Director. </w:t>
      </w: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13416E" w:rsidRDefault="0013416E" w:rsidP="006E6E8A">
      <w:pPr>
        <w:autoSpaceDE w:val="0"/>
        <w:autoSpaceDN w:val="0"/>
        <w:rPr>
          <w:sz w:val="24"/>
          <w:szCs w:val="24"/>
          <w:lang w:eastAsia="ja-JP"/>
        </w:rPr>
      </w:pPr>
    </w:p>
    <w:p w:rsidR="00097FAA" w:rsidRDefault="00097FAA"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55793" w:rsidRPr="00534907" w:rsidRDefault="004529F6" w:rsidP="00BC50BE">
      <w:pPr>
        <w:pStyle w:val="NoSpacing"/>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New Facility Operating Costs and other </w:t>
      </w:r>
      <w:r w:rsidR="00555793"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Fixed Costs</w:t>
      </w:r>
      <w:r w:rsidR="005E5C8E" w:rsidRPr="00534907">
        <w:rPr>
          <w:b/>
          <w:color w:val="669900"/>
          <w:sz w:val="40"/>
          <w:szCs w:val="2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02DEC" w:rsidRDefault="00602DEC" w:rsidP="00602DEC">
      <w:pPr>
        <w:rPr>
          <w:rFonts w:asciiTheme="minorHAnsi" w:hAnsiTheme="minorHAnsi"/>
          <w:b/>
          <w:sz w:val="28"/>
          <w:szCs w:val="24"/>
          <w:lang w:val="en"/>
        </w:rPr>
      </w:pPr>
    </w:p>
    <w:p w:rsidR="00C604E9" w:rsidRDefault="00C604E9" w:rsidP="00C604E9">
      <w:r>
        <w:t xml:space="preserve">The requests below reflect the MAU’s </w:t>
      </w:r>
      <w:r w:rsidRPr="002069E1">
        <w:t>FY1</w:t>
      </w:r>
      <w:r>
        <w:t>6</w:t>
      </w:r>
      <w:r w:rsidRPr="002069E1">
        <w:t xml:space="preserve"> </w:t>
      </w:r>
      <w:r w:rsidR="00E902A3">
        <w:t>o</w:t>
      </w:r>
      <w:r w:rsidRPr="002069E1">
        <w:t>perating request for facilities coming on line in FY1</w:t>
      </w:r>
      <w:r>
        <w:t>6 plus Facilities operating costs not fully funded in previous years (FY 14 and FY 15).</w:t>
      </w:r>
    </w:p>
    <w:p w:rsidR="00C604E9" w:rsidRPr="002069E1" w:rsidRDefault="00C604E9" w:rsidP="00C604E9"/>
    <w:p w:rsidR="00C604E9" w:rsidRDefault="00C604E9" w:rsidP="00C604E9">
      <w:r w:rsidRPr="002069E1">
        <w:t>The formula used for M&amp;R is 1</w:t>
      </w:r>
      <w:r>
        <w:t>.</w:t>
      </w:r>
      <w:r w:rsidRPr="002069E1">
        <w:t>5</w:t>
      </w:r>
      <w:r>
        <w:t>%</w:t>
      </w:r>
      <w:r w:rsidRPr="002069E1">
        <w:t xml:space="preserve"> of the </w:t>
      </w:r>
      <w:r>
        <w:t>total project cost (</w:t>
      </w:r>
      <w:r w:rsidRPr="002069E1">
        <w:t>TPC</w:t>
      </w:r>
      <w:r>
        <w:t>)</w:t>
      </w:r>
      <w:r w:rsidRPr="002069E1">
        <w:t>; and for Operati</w:t>
      </w:r>
      <w:r>
        <w:t>ons (</w:t>
      </w:r>
      <w:r w:rsidRPr="002069E1">
        <w:t>utilities, trash, water, sewer, grounds work</w:t>
      </w:r>
      <w:r>
        <w:t>,</w:t>
      </w:r>
      <w:r w:rsidRPr="002069E1">
        <w:t xml:space="preserve"> and custodial</w:t>
      </w:r>
      <w:r>
        <w:t>)</w:t>
      </w:r>
      <w:r w:rsidRPr="002069E1">
        <w:t xml:space="preserve"> it’s </w:t>
      </w:r>
      <w:r>
        <w:t>the</w:t>
      </w:r>
      <w:r w:rsidRPr="002069E1">
        <w:t xml:space="preserve"> </w:t>
      </w:r>
      <w:r>
        <w:t xml:space="preserve">calculated </w:t>
      </w:r>
      <w:r w:rsidRPr="002069E1">
        <w:t>campuses operating cost</w:t>
      </w:r>
      <w:r>
        <w:t xml:space="preserve"> </w:t>
      </w:r>
      <w:r w:rsidRPr="002069E1">
        <w:t xml:space="preserve">per </w:t>
      </w:r>
      <w:r>
        <w:t xml:space="preserve">gross square </w:t>
      </w:r>
      <w:r w:rsidRPr="002069E1">
        <w:t>f</w:t>
      </w:r>
      <w:r>
        <w:t>oot (gsf).</w:t>
      </w:r>
      <w:r w:rsidRPr="002069E1">
        <w:t xml:space="preserve"> </w:t>
      </w:r>
      <w:r>
        <w:t xml:space="preserve"> A</w:t>
      </w:r>
      <w:r w:rsidRPr="002069E1">
        <w:t>nchorage currently use</w:t>
      </w:r>
      <w:r>
        <w:t>s</w:t>
      </w:r>
      <w:r w:rsidRPr="002069E1">
        <w:t xml:space="preserve"> $</w:t>
      </w:r>
      <w:r w:rsidRPr="00B820CC">
        <w:t>5</w:t>
      </w:r>
      <w:r>
        <w:t>.50</w:t>
      </w:r>
      <w:r w:rsidRPr="002069E1">
        <w:t>/</w:t>
      </w:r>
      <w:r>
        <w:t>gsf.</w:t>
      </w:r>
    </w:p>
    <w:p w:rsidR="00C604E9" w:rsidRPr="002069E1" w:rsidRDefault="00C604E9" w:rsidP="00C604E9"/>
    <w:p w:rsidR="00C604E9" w:rsidRPr="002069E1" w:rsidRDefault="00C604E9" w:rsidP="00C604E9">
      <w:r w:rsidRPr="002069E1">
        <w:t xml:space="preserve">So </w:t>
      </w:r>
      <w:r>
        <w:rPr>
          <w:b/>
          <w:bCs/>
        </w:rPr>
        <w:t>our</w:t>
      </w:r>
      <w:r w:rsidRPr="002069E1">
        <w:rPr>
          <w:b/>
          <w:bCs/>
        </w:rPr>
        <w:t xml:space="preserve"> estimated</w:t>
      </w:r>
      <w:r w:rsidRPr="002069E1">
        <w:t xml:space="preserve"> M&amp;R/operating cost for facilities coming on</w:t>
      </w:r>
      <w:r>
        <w:t>-</w:t>
      </w:r>
      <w:r w:rsidRPr="002069E1">
        <w:t>line in FY1</w:t>
      </w:r>
      <w:r>
        <w:t>6</w:t>
      </w:r>
      <w:r w:rsidRPr="002069E1">
        <w:t xml:space="preserve"> </w:t>
      </w:r>
      <w:r>
        <w:t>are</w:t>
      </w:r>
      <w:r w:rsidRPr="002069E1">
        <w:t xml:space="preserve"> </w:t>
      </w:r>
      <w:r>
        <w:t>as follows</w:t>
      </w:r>
      <w:r w:rsidRPr="002069E1">
        <w:t>:</w:t>
      </w:r>
    </w:p>
    <w:p w:rsidR="00C604E9" w:rsidRPr="00771741" w:rsidRDefault="00C604E9" w:rsidP="00C604E9">
      <w:pPr>
        <w:rPr>
          <w:sz w:val="28"/>
        </w:rPr>
      </w:pPr>
    </w:p>
    <w:p w:rsidR="00771741" w:rsidRDefault="00771741" w:rsidP="00771741">
      <w:pPr>
        <w:rPr>
          <w:b/>
          <w:sz w:val="28"/>
          <w:szCs w:val="28"/>
        </w:rPr>
      </w:pPr>
      <w:r w:rsidRPr="00771741">
        <w:rPr>
          <w:b/>
          <w:sz w:val="28"/>
        </w:rPr>
        <w:t>UAA</w:t>
      </w:r>
      <w:r w:rsidRPr="00771741">
        <w:rPr>
          <w:b/>
          <w:sz w:val="28"/>
          <w:szCs w:val="28"/>
        </w:rPr>
        <w:t xml:space="preserve"> </w:t>
      </w:r>
      <w:r>
        <w:rPr>
          <w:b/>
          <w:sz w:val="28"/>
          <w:szCs w:val="28"/>
        </w:rPr>
        <w:t>Alaska Airlines Center new facility operating costs, remaining</w:t>
      </w:r>
      <w:r w:rsidRPr="001D0280">
        <w:rPr>
          <w:b/>
          <w:sz w:val="28"/>
          <w:szCs w:val="28"/>
        </w:rPr>
        <w:t xml:space="preserve"> $1.12M </w:t>
      </w:r>
      <w:r>
        <w:rPr>
          <w:b/>
          <w:sz w:val="28"/>
          <w:szCs w:val="28"/>
        </w:rPr>
        <w:t>GF</w:t>
      </w:r>
    </w:p>
    <w:p w:rsidR="00771741" w:rsidRPr="002C243C" w:rsidRDefault="00771741" w:rsidP="00195C3F">
      <w:pPr>
        <w:rPr>
          <w:color w:val="FF0000"/>
        </w:rPr>
      </w:pPr>
    </w:p>
    <w:p w:rsidR="00F96E42" w:rsidRPr="00D4751E" w:rsidRDefault="00D4751E" w:rsidP="00F96E42">
      <w:r>
        <w:t xml:space="preserve">The Alaska Airlines Center (AAC) </w:t>
      </w:r>
      <w:r w:rsidR="00771741" w:rsidRPr="00D4751E">
        <w:t xml:space="preserve">is </w:t>
      </w:r>
      <w:r>
        <w:t xml:space="preserve">currently </w:t>
      </w:r>
      <w:r w:rsidR="00A436EC">
        <w:t xml:space="preserve">funded </w:t>
      </w:r>
      <w:r w:rsidR="00771741" w:rsidRPr="00D4751E">
        <w:t xml:space="preserve">at $1.6M/197,000 = $8.12 per sf.  It is our largest and most complex and soon to be heaviest used building and it is funded </w:t>
      </w:r>
      <w:r w:rsidR="00771741" w:rsidRPr="00D4751E">
        <w:rPr>
          <w:b/>
          <w:bCs/>
        </w:rPr>
        <w:t>below</w:t>
      </w:r>
      <w:r w:rsidR="00F96E42" w:rsidRPr="00D4751E">
        <w:t xml:space="preserve"> our current campus average of </w:t>
      </w:r>
      <w:r>
        <w:t>$10.50 per sf</w:t>
      </w:r>
      <w:r w:rsidR="00F96E42" w:rsidRPr="00D4751E">
        <w:t xml:space="preserve"> (FY13.)</w:t>
      </w:r>
    </w:p>
    <w:p w:rsidR="00771741" w:rsidRPr="00D4751E" w:rsidRDefault="00771741" w:rsidP="00195C3F"/>
    <w:p w:rsidR="00771741" w:rsidRPr="00D4751E" w:rsidRDefault="00D4751E" w:rsidP="00195C3F">
      <w:r w:rsidRPr="00D4751E">
        <w:t>The underfunding</w:t>
      </w:r>
      <w:r w:rsidR="00771741" w:rsidRPr="00D4751E">
        <w:t xml:space="preserve"> is compounded by </w:t>
      </w:r>
      <w:r w:rsidR="004D1C5C" w:rsidRPr="00D4751E">
        <w:t>increased c</w:t>
      </w:r>
      <w:r w:rsidR="00F96E42" w:rsidRPr="00D4751E">
        <w:t>osts of u</w:t>
      </w:r>
      <w:r w:rsidR="004D1C5C" w:rsidRPr="00D4751E">
        <w:t>tilities.   M</w:t>
      </w:r>
      <w:r w:rsidR="00F96E42" w:rsidRPr="00D4751E">
        <w:t>L</w:t>
      </w:r>
      <w:r w:rsidR="00771741" w:rsidRPr="00D4751E">
        <w:t xml:space="preserve">&amp;P electricity went up by 26% in </w:t>
      </w:r>
      <w:r w:rsidR="00097FAA" w:rsidRPr="00D4751E">
        <w:t>spring</w:t>
      </w:r>
      <w:r w:rsidR="00771741" w:rsidRPr="00D4751E">
        <w:t xml:space="preserve"> of 2014 and is going up another 30% in FY 15; Gas has been volatile but increasing annually for the past several years (2012, 13) and is up by 2.6% in 2014.      </w:t>
      </w:r>
    </w:p>
    <w:p w:rsidR="00771741" w:rsidRDefault="00771741" w:rsidP="00195C3F">
      <w:pPr>
        <w:rPr>
          <w:b/>
          <w:sz w:val="28"/>
          <w:szCs w:val="28"/>
        </w:rPr>
      </w:pPr>
    </w:p>
    <w:p w:rsidR="00771741" w:rsidRDefault="00771741" w:rsidP="00195C3F">
      <w:r>
        <w:t>In FY15, UAA received $1.6M of the $2.72M requested to adequately meet minimum maintenance and operations standards for the new Alaska Airlines Center.  The unparalleled size and unique complexity of this facility make the maintenance and operation a factor that cannot</w:t>
      </w:r>
      <w:r w:rsidR="007367D3">
        <w:t xml:space="preserve"> be overlooked or under-funded.  </w:t>
      </w:r>
      <w:r>
        <w:t xml:space="preserve">This request is to fund the remaining $1.12M.  </w:t>
      </w:r>
    </w:p>
    <w:p w:rsidR="00195C3F" w:rsidRDefault="00195C3F" w:rsidP="00195C3F"/>
    <w:p w:rsidR="00771741" w:rsidRDefault="00A436EC" w:rsidP="00195C3F">
      <w:r>
        <w:t>To provide some further background on the complexity of the building, the facility in</w:t>
      </w:r>
      <w:r w:rsidR="00771741">
        <w:t>cludes: a 5,000 seat performance gymnasium, 500 seat auxiliary gym, gymnastics practice gym, 19 locker rooms, 3 fully equipped concession areas, over 62 offices, 2 fitness areas (for athletes and students), training rooms, 4 elevators (including the largest freight elevator in the state), a therapy pool and a 100 seat restaurant.  The Center requires 10 air handling units to supply 2</w:t>
      </w:r>
      <w:r w:rsidR="00083039">
        <w:t xml:space="preserve">32,400 SCFM of air circulation.  </w:t>
      </w:r>
      <w:r w:rsidR="00771741">
        <w:t xml:space="preserve">Heating is provided by 4 high efficiency boilers and 3 high efficiency water heaters.  </w:t>
      </w:r>
    </w:p>
    <w:p w:rsidR="00195C3F" w:rsidRDefault="00195C3F" w:rsidP="00195C3F"/>
    <w:p w:rsidR="00771741" w:rsidRDefault="00771741" w:rsidP="00195C3F">
      <w:r>
        <w:t xml:space="preserve">Full funding for this high use facility will prevent future maintenance backlogs and unfunded </w:t>
      </w:r>
      <w:r w:rsidR="00097FAA">
        <w:t>operation’s</w:t>
      </w:r>
      <w:r>
        <w:t xml:space="preserve"> needs. </w:t>
      </w:r>
    </w:p>
    <w:p w:rsidR="004D1C5C" w:rsidRDefault="004D1C5C" w:rsidP="00C604E9">
      <w:pPr>
        <w:pStyle w:val="ListParagraph"/>
        <w:ind w:left="360"/>
        <w:rPr>
          <w:b/>
        </w:rPr>
      </w:pPr>
    </w:p>
    <w:p w:rsidR="00C604E9" w:rsidRDefault="00C604E9" w:rsidP="00C604E9">
      <w:pPr>
        <w:pStyle w:val="ListParagraph"/>
        <w:ind w:left="360"/>
      </w:pPr>
      <w:r>
        <w:rPr>
          <w:b/>
        </w:rPr>
        <w:t xml:space="preserve">Occupancy Date: </w:t>
      </w:r>
      <w:r>
        <w:t>July 2014</w:t>
      </w:r>
    </w:p>
    <w:p w:rsidR="00C604E9" w:rsidRDefault="00C604E9" w:rsidP="00C604E9">
      <w:pPr>
        <w:pStyle w:val="ListParagraph"/>
        <w:ind w:left="360"/>
      </w:pPr>
      <w:r>
        <w:rPr>
          <w:b/>
        </w:rPr>
        <w:t>TPC:</w:t>
      </w:r>
      <w:r>
        <w:t xml:space="preserve"> $109M</w:t>
      </w:r>
    </w:p>
    <w:p w:rsidR="00C604E9" w:rsidRDefault="00C604E9" w:rsidP="00C604E9">
      <w:pPr>
        <w:pStyle w:val="ListParagraph"/>
        <w:ind w:left="360"/>
      </w:pPr>
      <w:r>
        <w:rPr>
          <w:b/>
        </w:rPr>
        <w:t>GSF:</w:t>
      </w:r>
      <w:r>
        <w:t xml:space="preserve"> 197,000</w:t>
      </w:r>
    </w:p>
    <w:p w:rsidR="00C604E9" w:rsidRDefault="00C604E9" w:rsidP="00C604E9">
      <w:pPr>
        <w:pStyle w:val="ListParagraph"/>
        <w:ind w:left="360"/>
      </w:pPr>
    </w:p>
    <w:p w:rsidR="00C604E9" w:rsidRDefault="00C604E9" w:rsidP="00C604E9">
      <w:pPr>
        <w:pStyle w:val="ListParagraph"/>
        <w:ind w:left="360"/>
      </w:pPr>
      <w:r>
        <w:t>M&amp;R (1.5% of TPC $109M) = $1.64M</w:t>
      </w:r>
    </w:p>
    <w:p w:rsidR="00C604E9" w:rsidRDefault="00C604E9" w:rsidP="00C604E9">
      <w:pPr>
        <w:pStyle w:val="ListParagraph"/>
        <w:ind w:left="360"/>
      </w:pPr>
      <w:r>
        <w:t>Operating ($5.50 x 197,000gsf) = $1.08M</w:t>
      </w:r>
    </w:p>
    <w:p w:rsidR="00C604E9" w:rsidRDefault="00C604E9" w:rsidP="00E84A49">
      <w:pPr>
        <w:ind w:left="360"/>
      </w:pPr>
      <w:r w:rsidRPr="006D3CAB">
        <w:t xml:space="preserve">Total Sports arena request </w:t>
      </w:r>
      <w:r>
        <w:t xml:space="preserve">for </w:t>
      </w:r>
      <w:r w:rsidRPr="006D3CAB">
        <w:t>FY15 was $2.72M</w:t>
      </w:r>
      <w:r>
        <w:t>.</w:t>
      </w:r>
      <w:r w:rsidRPr="006D3CAB">
        <w:t xml:space="preserve"> Amount Funded in FY15 </w:t>
      </w:r>
      <w:r>
        <w:t xml:space="preserve">was </w:t>
      </w:r>
      <w:r w:rsidRPr="006D3CAB">
        <w:t>$1.6M</w:t>
      </w:r>
      <w:r>
        <w:t>. W</w:t>
      </w:r>
      <w:r w:rsidRPr="006D3CAB">
        <w:t>e still need the balance of $1.12M in order to properly maintain (response maintenance, services, testing, Preventative Maintenance) and operate (clean, utilities, grounds)</w:t>
      </w:r>
    </w:p>
    <w:p w:rsidR="00C604E9" w:rsidRDefault="00C604E9" w:rsidP="00E84A49">
      <w:pPr>
        <w:ind w:left="360"/>
        <w:rPr>
          <w:b/>
        </w:rPr>
      </w:pPr>
      <w:r w:rsidRPr="006D3CAB">
        <w:rPr>
          <w:b/>
        </w:rPr>
        <w:t>Our FY 15 request for the Sports area is for the balance of the stewardship funds not previously allocated</w:t>
      </w:r>
      <w:r>
        <w:rPr>
          <w:b/>
        </w:rPr>
        <w:t xml:space="preserve"> is: </w:t>
      </w:r>
      <w:r w:rsidRPr="006D3CAB">
        <w:rPr>
          <w:b/>
        </w:rPr>
        <w:t>$1,120,000</w:t>
      </w:r>
    </w:p>
    <w:p w:rsidR="00C604E9" w:rsidRPr="006D3CAB" w:rsidRDefault="00C604E9" w:rsidP="00C604E9">
      <w:pPr>
        <w:rPr>
          <w:b/>
        </w:rPr>
      </w:pPr>
    </w:p>
    <w:p w:rsidR="0048359F" w:rsidRDefault="0048359F" w:rsidP="00195C3F">
      <w:pPr>
        <w:pStyle w:val="ListParagraph"/>
        <w:spacing w:after="200" w:line="276" w:lineRule="auto"/>
        <w:ind w:left="0"/>
        <w:rPr>
          <w:b/>
          <w:sz w:val="28"/>
          <w:szCs w:val="28"/>
        </w:rPr>
      </w:pPr>
    </w:p>
    <w:p w:rsidR="00C604E9" w:rsidRPr="00195C3F" w:rsidRDefault="00C604E9" w:rsidP="00195C3F">
      <w:pPr>
        <w:pStyle w:val="ListParagraph"/>
        <w:spacing w:after="200" w:line="276" w:lineRule="auto"/>
        <w:ind w:left="0"/>
        <w:rPr>
          <w:b/>
          <w:sz w:val="28"/>
          <w:szCs w:val="28"/>
        </w:rPr>
      </w:pPr>
      <w:r w:rsidRPr="00195C3F">
        <w:rPr>
          <w:b/>
          <w:sz w:val="28"/>
          <w:szCs w:val="28"/>
        </w:rPr>
        <w:t>Engineering and Industry Building</w:t>
      </w:r>
    </w:p>
    <w:p w:rsidR="00C604E9" w:rsidRDefault="00C604E9" w:rsidP="00C604E9">
      <w:pPr>
        <w:pStyle w:val="ListParagraph"/>
        <w:ind w:left="360"/>
      </w:pPr>
      <w:r>
        <w:rPr>
          <w:b/>
        </w:rPr>
        <w:t xml:space="preserve">Occupancy Date: </w:t>
      </w:r>
      <w:r w:rsidRPr="00976CF1">
        <w:t>July 2015</w:t>
      </w:r>
    </w:p>
    <w:p w:rsidR="00C604E9" w:rsidRDefault="00C604E9" w:rsidP="00C604E9">
      <w:pPr>
        <w:pStyle w:val="ListParagraph"/>
        <w:ind w:left="360"/>
      </w:pPr>
      <w:r>
        <w:rPr>
          <w:b/>
        </w:rPr>
        <w:t xml:space="preserve">TPC: </w:t>
      </w:r>
      <w:r>
        <w:t>$78.3M</w:t>
      </w:r>
    </w:p>
    <w:p w:rsidR="00C604E9" w:rsidRDefault="00C604E9" w:rsidP="00C604E9">
      <w:pPr>
        <w:pStyle w:val="ListParagraph"/>
        <w:ind w:left="360"/>
      </w:pPr>
      <w:r>
        <w:rPr>
          <w:b/>
        </w:rPr>
        <w:t>GSF:</w:t>
      </w:r>
      <w:r>
        <w:t xml:space="preserve"> 81,500</w:t>
      </w:r>
    </w:p>
    <w:p w:rsidR="00C604E9" w:rsidRPr="00976CF1" w:rsidRDefault="00C604E9" w:rsidP="00C604E9">
      <w:pPr>
        <w:pStyle w:val="ListParagraph"/>
        <w:ind w:left="360"/>
      </w:pPr>
    </w:p>
    <w:p w:rsidR="00C604E9" w:rsidRDefault="00C604E9" w:rsidP="00C604E9">
      <w:pPr>
        <w:pStyle w:val="ListParagraph"/>
        <w:ind w:left="360"/>
      </w:pPr>
      <w:r>
        <w:t>M&amp;R (1.5% of TPC $78.3M) = $1,174,500</w:t>
      </w:r>
    </w:p>
    <w:p w:rsidR="00C604E9" w:rsidRDefault="00C604E9" w:rsidP="00C604E9">
      <w:pPr>
        <w:pStyle w:val="ListParagraph"/>
        <w:ind w:left="360"/>
      </w:pPr>
      <w:r>
        <w:t xml:space="preserve">Operating </w:t>
      </w:r>
      <w:r w:rsidR="00D65DD4">
        <w:t>($5.5 x 81,500gsf) = $448,30</w:t>
      </w:r>
      <w:r>
        <w:t>0</w:t>
      </w:r>
      <w:r w:rsidR="00D65DD4">
        <w:t xml:space="preserve"> (rounded)</w:t>
      </w:r>
    </w:p>
    <w:p w:rsidR="00C604E9" w:rsidRDefault="00C604E9" w:rsidP="00C604E9">
      <w:pPr>
        <w:ind w:firstLine="360"/>
        <w:rPr>
          <w:b/>
        </w:rPr>
      </w:pPr>
      <w:r>
        <w:rPr>
          <w:b/>
        </w:rPr>
        <w:t>Our Total M&amp;R/Operating Request for the Engineering an</w:t>
      </w:r>
      <w:r w:rsidR="00D65DD4">
        <w:rPr>
          <w:b/>
        </w:rPr>
        <w:t>d Industry Building is $1,622,80</w:t>
      </w:r>
      <w:r>
        <w:rPr>
          <w:b/>
        </w:rPr>
        <w:t>0.</w:t>
      </w:r>
    </w:p>
    <w:p w:rsidR="00C604E9" w:rsidRDefault="00C604E9" w:rsidP="00C604E9">
      <w:pPr>
        <w:ind w:firstLine="360"/>
        <w:rPr>
          <w:b/>
        </w:rPr>
      </w:pPr>
    </w:p>
    <w:p w:rsidR="00C604E9" w:rsidRPr="00195C3F" w:rsidRDefault="00C604E9" w:rsidP="00195C3F">
      <w:pPr>
        <w:spacing w:after="200" w:line="276" w:lineRule="auto"/>
        <w:rPr>
          <w:b/>
          <w:sz w:val="28"/>
          <w:szCs w:val="28"/>
        </w:rPr>
      </w:pPr>
      <w:r w:rsidRPr="00195C3F">
        <w:rPr>
          <w:b/>
          <w:sz w:val="28"/>
          <w:szCs w:val="28"/>
        </w:rPr>
        <w:t>Engineering Building Parking Garage</w:t>
      </w:r>
    </w:p>
    <w:p w:rsidR="00C604E9" w:rsidRDefault="00C604E9" w:rsidP="00C604E9">
      <w:pPr>
        <w:pStyle w:val="ListParagraph"/>
        <w:ind w:left="360"/>
      </w:pPr>
      <w:r>
        <w:rPr>
          <w:b/>
        </w:rPr>
        <w:t xml:space="preserve">Occupancy Date: </w:t>
      </w:r>
      <w:r>
        <w:t>Fall 2015</w:t>
      </w:r>
    </w:p>
    <w:p w:rsidR="00C604E9" w:rsidRDefault="00C604E9" w:rsidP="00C604E9">
      <w:pPr>
        <w:pStyle w:val="ListParagraph"/>
        <w:ind w:left="360"/>
      </w:pPr>
      <w:r>
        <w:rPr>
          <w:b/>
        </w:rPr>
        <w:t>TPC:</w:t>
      </w:r>
      <w:r>
        <w:t xml:space="preserve"> $28.4M</w:t>
      </w:r>
    </w:p>
    <w:p w:rsidR="00C604E9" w:rsidRDefault="00C604E9" w:rsidP="00C604E9">
      <w:pPr>
        <w:pStyle w:val="ListParagraph"/>
        <w:ind w:left="360"/>
      </w:pPr>
      <w:r>
        <w:rPr>
          <w:b/>
        </w:rPr>
        <w:t>GSF:</w:t>
      </w:r>
      <w:r>
        <w:t xml:space="preserve"> 204,000</w:t>
      </w:r>
    </w:p>
    <w:p w:rsidR="00C604E9" w:rsidRPr="00976CF1" w:rsidRDefault="00C604E9" w:rsidP="00C604E9">
      <w:pPr>
        <w:pStyle w:val="ListParagraph"/>
        <w:ind w:left="360"/>
      </w:pPr>
    </w:p>
    <w:p w:rsidR="00C604E9" w:rsidRDefault="00C604E9" w:rsidP="00C604E9">
      <w:pPr>
        <w:pStyle w:val="ListParagraph"/>
        <w:ind w:left="360"/>
      </w:pPr>
      <w:r w:rsidRPr="00F361DA">
        <w:rPr>
          <w:b/>
        </w:rPr>
        <w:t>M&amp;R*</w:t>
      </w:r>
      <w:r>
        <w:t xml:space="preserve"> (.75% of $28.4M) = $ 213,000</w:t>
      </w:r>
    </w:p>
    <w:p w:rsidR="00C604E9" w:rsidRDefault="00C604E9" w:rsidP="00C604E9">
      <w:pPr>
        <w:pStyle w:val="ListParagraph"/>
        <w:ind w:left="360"/>
      </w:pPr>
      <w:r w:rsidRPr="00F361DA">
        <w:rPr>
          <w:b/>
        </w:rPr>
        <w:t>Operating</w:t>
      </w:r>
      <w:r>
        <w:t xml:space="preserve">*($3.38 x 204,000gsf) = $689,520 </w:t>
      </w:r>
    </w:p>
    <w:p w:rsidR="00C604E9" w:rsidRDefault="00C604E9" w:rsidP="00C604E9">
      <w:pPr>
        <w:pStyle w:val="ListParagraph"/>
        <w:ind w:left="360"/>
      </w:pPr>
    </w:p>
    <w:p w:rsidR="00C604E9" w:rsidRDefault="00C604E9" w:rsidP="00C604E9">
      <w:pPr>
        <w:pStyle w:val="ListParagraph"/>
      </w:pPr>
      <w:r>
        <w:t>Since the intensity of use of the garage is different for a parking garage than regular building the Operating Cost is reduced from $5.50 per sf to $3.38 per sf.  Utility usage is reduced by 60% and custodial is reduced by 80%; Grounds and Admin factors remain the same</w:t>
      </w:r>
      <w:r w:rsidR="00097FAA">
        <w:t>, giving</w:t>
      </w:r>
      <w:r>
        <w:t xml:space="preserve"> the garage an estimated operat</w:t>
      </w:r>
      <w:r w:rsidR="00EB610B">
        <w:t>ing cost of $3.</w:t>
      </w:r>
      <w:r>
        <w:t xml:space="preserve">38 per gsf.  This facility has lights on 24x7 with emergency backup, stairways that are fire </w:t>
      </w:r>
      <w:r w:rsidR="00097FAA">
        <w:t>protected;</w:t>
      </w:r>
      <w:r>
        <w:t xml:space="preserve"> it has an elevator that is in conditioned space, the garage is connect to the engineer building by a conditioned corridor (spine).  The trash </w:t>
      </w:r>
      <w:r w:rsidR="00097FAA">
        <w:t>pick-up</w:t>
      </w:r>
      <w:r>
        <w:t xml:space="preserve"> and cleaning of this space is significant as is the snow removal and maintenance of the road in to the garage and the Shuttle turn around and pedestrian paths.    </w:t>
      </w:r>
    </w:p>
    <w:p w:rsidR="00C604E9" w:rsidRDefault="00C604E9" w:rsidP="00C604E9">
      <w:pPr>
        <w:pStyle w:val="ListParagraph"/>
      </w:pPr>
    </w:p>
    <w:p w:rsidR="00C604E9" w:rsidRDefault="00C604E9" w:rsidP="00C604E9">
      <w:pPr>
        <w:pStyle w:val="ListParagraph"/>
      </w:pPr>
      <w:r>
        <w:t xml:space="preserve">Since the garage has minimal walls, limited interior finishes, and limited plumbing it is possible to reduce the M&amp;R formula </w:t>
      </w:r>
      <w:r w:rsidRPr="00F361DA">
        <w:rPr>
          <w:b/>
        </w:rPr>
        <w:t>by half</w:t>
      </w:r>
      <w:r>
        <w:t xml:space="preserve"> to .75% x TPC.    It has heating system, electrical systems and fire systems.  Any work done to the garage is fairly expensive and will require contract support (concrete and steel).  </w:t>
      </w:r>
    </w:p>
    <w:p w:rsidR="00C01C28" w:rsidRDefault="00C01C28" w:rsidP="00C604E9">
      <w:pPr>
        <w:ind w:firstLine="360"/>
        <w:rPr>
          <w:b/>
        </w:rPr>
      </w:pPr>
    </w:p>
    <w:p w:rsidR="00C604E9" w:rsidRDefault="00C604E9" w:rsidP="00C604E9">
      <w:pPr>
        <w:ind w:firstLine="360"/>
        <w:rPr>
          <w:b/>
        </w:rPr>
      </w:pPr>
      <w:r>
        <w:rPr>
          <w:b/>
        </w:rPr>
        <w:t>Ou</w:t>
      </w:r>
      <w:r w:rsidR="00C01C28">
        <w:rPr>
          <w:b/>
        </w:rPr>
        <w:t xml:space="preserve">r Total M&amp;R/Operating </w:t>
      </w:r>
      <w:r>
        <w:rPr>
          <w:b/>
        </w:rPr>
        <w:t xml:space="preserve">request for the Engineering Parking Garage = $902,520.  </w:t>
      </w:r>
    </w:p>
    <w:p w:rsidR="00C604E9" w:rsidRDefault="00C604E9" w:rsidP="00C604E9">
      <w:pPr>
        <w:ind w:firstLine="360"/>
        <w:rPr>
          <w:b/>
        </w:rPr>
      </w:pPr>
    </w:p>
    <w:p w:rsidR="00195C3F" w:rsidRPr="00195C3F" w:rsidRDefault="00C604E9" w:rsidP="00195C3F">
      <w:pPr>
        <w:spacing w:after="200" w:line="276" w:lineRule="auto"/>
        <w:rPr>
          <w:b/>
        </w:rPr>
      </w:pPr>
      <w:r w:rsidRPr="00195C3F">
        <w:rPr>
          <w:b/>
          <w:bCs/>
          <w:sz w:val="28"/>
          <w:szCs w:val="28"/>
        </w:rPr>
        <w:t>KPC Career Tech</w:t>
      </w:r>
      <w:r w:rsidR="00195C3F" w:rsidRPr="00195C3F">
        <w:rPr>
          <w:b/>
        </w:rPr>
        <w:t xml:space="preserve"> </w:t>
      </w:r>
      <w:r w:rsidR="00195C3F">
        <w:rPr>
          <w:b/>
        </w:rPr>
        <w:t>(</w:t>
      </w:r>
      <w:r w:rsidR="00073FA5">
        <w:rPr>
          <w:b/>
        </w:rPr>
        <w:t xml:space="preserve">amount </w:t>
      </w:r>
      <w:r w:rsidR="00195C3F">
        <w:rPr>
          <w:b/>
        </w:rPr>
        <w:t>n</w:t>
      </w:r>
      <w:r w:rsidR="00091168">
        <w:rPr>
          <w:b/>
        </w:rPr>
        <w:t>ot f</w:t>
      </w:r>
      <w:r w:rsidR="00195C3F" w:rsidRPr="00195C3F">
        <w:rPr>
          <w:b/>
        </w:rPr>
        <w:t xml:space="preserve">unded in </w:t>
      </w:r>
      <w:r w:rsidR="00073FA5">
        <w:rPr>
          <w:b/>
        </w:rPr>
        <w:t xml:space="preserve">the </w:t>
      </w:r>
      <w:r w:rsidR="00195C3F" w:rsidRPr="00195C3F">
        <w:rPr>
          <w:b/>
        </w:rPr>
        <w:t>FY14</w:t>
      </w:r>
      <w:r w:rsidR="00073FA5">
        <w:rPr>
          <w:b/>
        </w:rPr>
        <w:t>/15 operating b</w:t>
      </w:r>
      <w:r w:rsidR="00195C3F" w:rsidRPr="00195C3F">
        <w:rPr>
          <w:b/>
        </w:rPr>
        <w:t>udget</w:t>
      </w:r>
      <w:r w:rsidR="00073FA5">
        <w:rPr>
          <w:b/>
        </w:rPr>
        <w:t xml:space="preserve">, </w:t>
      </w:r>
      <w:r w:rsidR="00C812BA">
        <w:rPr>
          <w:b/>
        </w:rPr>
        <w:t>request</w:t>
      </w:r>
      <w:r w:rsidR="00195C3F" w:rsidRPr="00195C3F">
        <w:rPr>
          <w:b/>
        </w:rPr>
        <w:t xml:space="preserve"> again in FY16</w:t>
      </w:r>
      <w:r w:rsidR="00195C3F">
        <w:rPr>
          <w:b/>
        </w:rPr>
        <w:t>)</w:t>
      </w:r>
    </w:p>
    <w:p w:rsidR="00C604E9" w:rsidRDefault="00C604E9" w:rsidP="00C604E9">
      <w:pPr>
        <w:pStyle w:val="ListParagraph"/>
        <w:ind w:left="360"/>
      </w:pPr>
      <w:r>
        <w:rPr>
          <w:b/>
          <w:bCs/>
        </w:rPr>
        <w:t xml:space="preserve">Occupancy Date: </w:t>
      </w:r>
      <w:r>
        <w:t>July 2013</w:t>
      </w:r>
    </w:p>
    <w:p w:rsidR="00C604E9" w:rsidRDefault="00C604E9" w:rsidP="00C604E9">
      <w:pPr>
        <w:pStyle w:val="ListParagraph"/>
        <w:ind w:left="360"/>
      </w:pPr>
      <w:r>
        <w:rPr>
          <w:b/>
          <w:bCs/>
        </w:rPr>
        <w:t>TPC:</w:t>
      </w:r>
      <w:r>
        <w:t xml:space="preserve"> $15.25M</w:t>
      </w:r>
    </w:p>
    <w:p w:rsidR="00C604E9" w:rsidRDefault="00C604E9" w:rsidP="00C604E9">
      <w:pPr>
        <w:pStyle w:val="ListParagraph"/>
        <w:ind w:left="360"/>
      </w:pPr>
      <w:r>
        <w:rPr>
          <w:b/>
          <w:bCs/>
        </w:rPr>
        <w:t>GSF:</w:t>
      </w:r>
      <w:r>
        <w:t xml:space="preserve"> 19,370</w:t>
      </w:r>
    </w:p>
    <w:p w:rsidR="00C604E9" w:rsidRDefault="00C604E9" w:rsidP="00C604E9">
      <w:pPr>
        <w:pStyle w:val="ListParagraph"/>
        <w:ind w:left="360"/>
      </w:pPr>
    </w:p>
    <w:p w:rsidR="00C604E9" w:rsidRDefault="00C604E9" w:rsidP="00C604E9">
      <w:pPr>
        <w:pStyle w:val="ListParagraph"/>
        <w:ind w:left="360"/>
      </w:pPr>
      <w:r>
        <w:t>M&amp;R (1.5% of $15.250M) = $228,750</w:t>
      </w:r>
    </w:p>
    <w:p w:rsidR="00C604E9" w:rsidRDefault="00C604E9" w:rsidP="00C604E9">
      <w:pPr>
        <w:pStyle w:val="ListParagraph"/>
        <w:ind w:left="360"/>
      </w:pPr>
      <w:r>
        <w:t>Operating ($5 x 19,370gsf) = $96,850</w:t>
      </w:r>
    </w:p>
    <w:p w:rsidR="00C604E9" w:rsidRDefault="00C604E9" w:rsidP="00C604E9">
      <w:pPr>
        <w:pStyle w:val="ListParagraph"/>
        <w:ind w:left="360"/>
      </w:pPr>
    </w:p>
    <w:p w:rsidR="00C604E9" w:rsidRPr="00E76856" w:rsidRDefault="00C604E9" w:rsidP="00C604E9">
      <w:pPr>
        <w:pStyle w:val="ListParagraph"/>
        <w:ind w:left="360"/>
        <w:rPr>
          <w:rFonts w:cs="Arial"/>
        </w:rPr>
      </w:pPr>
      <w:r>
        <w:t xml:space="preserve">KPC Career Tech M&amp;R/Operations request for FY 14 was </w:t>
      </w:r>
      <w:r w:rsidRPr="00B23674">
        <w:rPr>
          <w:b/>
          <w:bCs/>
        </w:rPr>
        <w:t>$325,600</w:t>
      </w:r>
      <w:r>
        <w:rPr>
          <w:b/>
          <w:bCs/>
        </w:rPr>
        <w:t xml:space="preserve">. </w:t>
      </w:r>
      <w:r w:rsidRPr="00B722DE">
        <w:rPr>
          <w:bCs/>
        </w:rPr>
        <w:t>For FY14</w:t>
      </w:r>
      <w:r>
        <w:rPr>
          <w:b/>
          <w:bCs/>
        </w:rPr>
        <w:t xml:space="preserve"> </w:t>
      </w:r>
      <w:r>
        <w:rPr>
          <w:bCs/>
        </w:rPr>
        <w:t>t</w:t>
      </w:r>
      <w:r w:rsidRPr="00B722DE">
        <w:rPr>
          <w:bCs/>
        </w:rPr>
        <w:t>he</w:t>
      </w:r>
      <w:r>
        <w:rPr>
          <w:b/>
          <w:bCs/>
        </w:rPr>
        <w:t xml:space="preserve"> </w:t>
      </w:r>
      <w:r w:rsidRPr="00B722DE">
        <w:rPr>
          <w:bCs/>
        </w:rPr>
        <w:t>Legislature partially funded th</w:t>
      </w:r>
      <w:r>
        <w:rPr>
          <w:bCs/>
        </w:rPr>
        <w:t>e</w:t>
      </w:r>
      <w:r w:rsidRPr="00B722DE">
        <w:rPr>
          <w:bCs/>
        </w:rPr>
        <w:t xml:space="preserve"> ongoing stewardship </w:t>
      </w:r>
      <w:r>
        <w:rPr>
          <w:bCs/>
        </w:rPr>
        <w:t xml:space="preserve">requirements </w:t>
      </w:r>
      <w:r w:rsidRPr="00B722DE">
        <w:rPr>
          <w:bCs/>
        </w:rPr>
        <w:t xml:space="preserve">of the facility. </w:t>
      </w:r>
      <w:r w:rsidRPr="00976CF1">
        <w:rPr>
          <w:bCs/>
        </w:rPr>
        <w:t xml:space="preserve">The FY14 request was short funded by </w:t>
      </w:r>
      <w:r w:rsidRPr="00E76856">
        <w:rPr>
          <w:rFonts w:cs="Arial"/>
        </w:rPr>
        <w:t>$28,800.</w:t>
      </w:r>
    </w:p>
    <w:p w:rsidR="00C604E9" w:rsidRDefault="00C604E9" w:rsidP="00C604E9">
      <w:pPr>
        <w:pStyle w:val="ListParagraph"/>
        <w:ind w:left="360"/>
        <w:rPr>
          <w:rFonts w:cs="Arial"/>
        </w:rPr>
      </w:pPr>
    </w:p>
    <w:p w:rsidR="00C604E9" w:rsidRDefault="00C604E9" w:rsidP="00C604E9">
      <w:pPr>
        <w:pStyle w:val="ListParagraph"/>
        <w:ind w:left="360"/>
      </w:pPr>
      <w:r w:rsidRPr="006D3CAB">
        <w:rPr>
          <w:rFonts w:cs="Arial"/>
          <w:b/>
        </w:rPr>
        <w:t>Our FY1</w:t>
      </w:r>
      <w:r w:rsidR="00574153">
        <w:rPr>
          <w:rFonts w:cs="Arial"/>
          <w:b/>
        </w:rPr>
        <w:t>6</w:t>
      </w:r>
      <w:r w:rsidRPr="006D3CAB">
        <w:rPr>
          <w:rFonts w:cs="Arial"/>
          <w:b/>
        </w:rPr>
        <w:t xml:space="preserve"> request asks for the balance of those funds</w:t>
      </w:r>
      <w:r>
        <w:rPr>
          <w:rFonts w:cs="Arial"/>
          <w:b/>
        </w:rPr>
        <w:t xml:space="preserve"> of </w:t>
      </w:r>
      <w:r w:rsidRPr="006D3CAB">
        <w:rPr>
          <w:rFonts w:cs="Arial"/>
          <w:b/>
        </w:rPr>
        <w:t>$28,800</w:t>
      </w:r>
    </w:p>
    <w:p w:rsidR="00477847" w:rsidRPr="00573568" w:rsidRDefault="00477847" w:rsidP="00BC50BE">
      <w:pPr>
        <w:rPr>
          <w:rFonts w:asciiTheme="minorHAnsi" w:hAnsiTheme="minorHAnsi"/>
          <w:b/>
          <w:sz w:val="24"/>
          <w:szCs w:val="24"/>
          <w:highlight w:val="yellow"/>
        </w:rPr>
      </w:pPr>
    </w:p>
    <w:p w:rsidR="005F7397" w:rsidRDefault="005F7397" w:rsidP="00771741">
      <w:pPr>
        <w:rPr>
          <w:rFonts w:asciiTheme="minorHAnsi" w:hAnsiTheme="minorHAnsi"/>
          <w:b/>
          <w:sz w:val="28"/>
          <w:szCs w:val="24"/>
          <w:lang w:val="en"/>
        </w:rPr>
      </w:pPr>
    </w:p>
    <w:p w:rsidR="00A57BD6" w:rsidRDefault="00A57BD6" w:rsidP="00A57BD6">
      <w:pPr>
        <w:rPr>
          <w:rFonts w:asciiTheme="minorHAnsi" w:hAnsiTheme="minorHAnsi"/>
          <w:b/>
          <w:sz w:val="28"/>
          <w:szCs w:val="24"/>
          <w:lang w:val="en"/>
        </w:rPr>
      </w:pPr>
      <w:r>
        <w:rPr>
          <w:rFonts w:asciiTheme="minorHAnsi" w:hAnsiTheme="minorHAnsi"/>
          <w:b/>
          <w:sz w:val="28"/>
          <w:szCs w:val="24"/>
          <w:lang w:val="en"/>
        </w:rPr>
        <w:t>Title IX Coordinator, $100.0</w:t>
      </w:r>
      <w:r w:rsidRPr="00115EC9">
        <w:rPr>
          <w:rFonts w:asciiTheme="minorHAnsi" w:hAnsiTheme="minorHAnsi"/>
          <w:b/>
          <w:sz w:val="28"/>
          <w:szCs w:val="24"/>
          <w:lang w:val="en"/>
        </w:rPr>
        <w:t xml:space="preserve"> GF</w:t>
      </w:r>
    </w:p>
    <w:p w:rsidR="00A57BD6" w:rsidRDefault="00A57BD6" w:rsidP="00A57BD6">
      <w:pPr>
        <w:rPr>
          <w:color w:val="1F497D"/>
        </w:rPr>
      </w:pPr>
    </w:p>
    <w:p w:rsidR="00A57BD6" w:rsidRPr="00A57BD6" w:rsidRDefault="00A57BD6" w:rsidP="00A57BD6">
      <w:pPr>
        <w:rPr>
          <w:rFonts w:asciiTheme="minorHAnsi" w:hAnsiTheme="minorHAnsi"/>
          <w:color w:val="FF0000"/>
          <w:sz w:val="24"/>
          <w:szCs w:val="24"/>
        </w:rPr>
      </w:pPr>
      <w:r w:rsidRPr="00A57BD6">
        <w:rPr>
          <w:rFonts w:asciiTheme="minorHAnsi" w:hAnsiTheme="minorHAnsi"/>
          <w:sz w:val="24"/>
          <w:szCs w:val="24"/>
        </w:rPr>
        <w:t xml:space="preserve">The State of Alaska has the highest rate of sexual and domestic violence in the country.  As such, these challenges affect a significant portion of the UAA campus communities, given its geographical location in the state.    Title IX mitigates the detrimental effects of these challenges, as required by law, by conducting promote, fair and impartial investigations and works to remedy the effects of harassment and preventing the recurrence.   Investigators include but are not limited to allegations related to dating violence, gender discrimination, sexual violence, sexual harassment, domestic violence and stalking on UAA’s campuses </w:t>
      </w:r>
    </w:p>
    <w:p w:rsidR="00A57BD6" w:rsidRPr="00A57BD6" w:rsidRDefault="00A57BD6" w:rsidP="00A57BD6">
      <w:pPr>
        <w:autoSpaceDE w:val="0"/>
        <w:autoSpaceDN w:val="0"/>
        <w:rPr>
          <w:rFonts w:asciiTheme="minorHAnsi" w:hAnsiTheme="minorHAnsi"/>
          <w:sz w:val="24"/>
          <w:szCs w:val="24"/>
        </w:rPr>
      </w:pPr>
      <w:r w:rsidRPr="00A57BD6">
        <w:rPr>
          <w:rFonts w:asciiTheme="minorHAnsi" w:hAnsiTheme="minorHAnsi"/>
          <w:sz w:val="24"/>
          <w:szCs w:val="24"/>
        </w:rPr>
        <w:t xml:space="preserve">Title IX works to return complainants of such violations to their pre-incident status as well as provide mandated training and preventative programming creating a zero-tolerance environment and culture of reporting all instances of discrimination without fear of reprisal.  It’s equally important for Title IX team to build partnerships with UPD, APD, STAR, AWAIC, Green Dot, etc., to serve as leadership in addressing gender discrimination and violence in Alaska. </w:t>
      </w:r>
    </w:p>
    <w:p w:rsidR="00A57BD6" w:rsidRPr="00A57BD6" w:rsidRDefault="00A57BD6" w:rsidP="00A57BD6">
      <w:pPr>
        <w:rPr>
          <w:rFonts w:asciiTheme="minorHAnsi" w:hAnsiTheme="minorHAnsi"/>
          <w:sz w:val="24"/>
          <w:szCs w:val="24"/>
        </w:rPr>
      </w:pPr>
    </w:p>
    <w:p w:rsidR="00A57BD6" w:rsidRPr="00A57BD6" w:rsidRDefault="00A57BD6" w:rsidP="00A57BD6">
      <w:pPr>
        <w:rPr>
          <w:rFonts w:asciiTheme="minorHAnsi" w:hAnsiTheme="minorHAnsi"/>
          <w:b/>
          <w:bCs/>
          <w:sz w:val="24"/>
          <w:szCs w:val="24"/>
        </w:rPr>
      </w:pPr>
      <w:r w:rsidRPr="00A57BD6">
        <w:rPr>
          <w:rFonts w:asciiTheme="minorHAnsi" w:hAnsiTheme="minorHAnsi"/>
          <w:sz w:val="24"/>
          <w:szCs w:val="24"/>
        </w:rPr>
        <w:t>The request for $100K for a FTE staff will position the institution to have a dedicated full time person to serve as “Gatekeeper” for Title IX compliance with reporting to the Director, Office of Campus Diversity &amp; Compliance.   Federal requirements are increasing and the establishment of an additional FTE staff will maximize the institutions ability to address OCR requirements, educate constituents of their rights/ responsibilities and take necessary steps to prevent the recurrence</w:t>
      </w:r>
    </w:p>
    <w:p w:rsidR="00A57BD6" w:rsidRDefault="00A57BD6" w:rsidP="00771741">
      <w:pPr>
        <w:rPr>
          <w:rFonts w:asciiTheme="minorHAnsi" w:hAnsiTheme="minorHAnsi"/>
          <w:b/>
          <w:sz w:val="28"/>
          <w:szCs w:val="24"/>
          <w:lang w:val="en"/>
        </w:rPr>
      </w:pPr>
    </w:p>
    <w:p w:rsidR="00771741" w:rsidRDefault="00771741" w:rsidP="00771741">
      <w:pPr>
        <w:rPr>
          <w:rFonts w:asciiTheme="minorHAnsi" w:hAnsiTheme="minorHAnsi"/>
          <w:b/>
          <w:sz w:val="28"/>
          <w:szCs w:val="24"/>
          <w:lang w:val="en"/>
        </w:rPr>
      </w:pPr>
      <w:r>
        <w:rPr>
          <w:rFonts w:asciiTheme="minorHAnsi" w:hAnsiTheme="minorHAnsi"/>
          <w:b/>
          <w:sz w:val="28"/>
          <w:szCs w:val="24"/>
          <w:lang w:val="en"/>
        </w:rPr>
        <w:t>Engineering Building Lab Coordinator, $89.5</w:t>
      </w:r>
      <w:r w:rsidRPr="00115EC9">
        <w:rPr>
          <w:rFonts w:asciiTheme="minorHAnsi" w:hAnsiTheme="minorHAnsi"/>
          <w:b/>
          <w:sz w:val="28"/>
          <w:szCs w:val="24"/>
          <w:lang w:val="en"/>
        </w:rPr>
        <w:t xml:space="preserve"> GF</w:t>
      </w:r>
    </w:p>
    <w:p w:rsidR="00BF7659" w:rsidRDefault="00BF7659" w:rsidP="00771741">
      <w:pPr>
        <w:rPr>
          <w:sz w:val="24"/>
        </w:rPr>
      </w:pPr>
      <w:r>
        <w:rPr>
          <w:sz w:val="24"/>
          <w:szCs w:val="24"/>
        </w:rPr>
        <w:t>The College of Engineering requires a lab coo</w:t>
      </w:r>
      <w:r w:rsidR="007943E8">
        <w:rPr>
          <w:sz w:val="24"/>
          <w:szCs w:val="24"/>
        </w:rPr>
        <w:t>rdinator to ensure the safe use and care of equipment</w:t>
      </w:r>
      <w:r>
        <w:rPr>
          <w:sz w:val="24"/>
          <w:szCs w:val="24"/>
        </w:rPr>
        <w:t xml:space="preserve"> and material</w:t>
      </w:r>
      <w:r w:rsidR="007943E8">
        <w:rPr>
          <w:sz w:val="24"/>
          <w:szCs w:val="24"/>
        </w:rPr>
        <w:t xml:space="preserve">s in its labs used by students </w:t>
      </w:r>
      <w:r>
        <w:rPr>
          <w:sz w:val="24"/>
          <w:szCs w:val="24"/>
        </w:rPr>
        <w:t xml:space="preserve">and other personnel.  The Building Lab Coordinator </w:t>
      </w:r>
      <w:r w:rsidR="007943E8">
        <w:rPr>
          <w:sz w:val="24"/>
          <w:szCs w:val="24"/>
        </w:rPr>
        <w:t>will</w:t>
      </w:r>
      <w:r>
        <w:rPr>
          <w:sz w:val="24"/>
          <w:szCs w:val="24"/>
        </w:rPr>
        <w:t xml:space="preserve"> provide </w:t>
      </w:r>
      <w:r w:rsidR="007943E8">
        <w:rPr>
          <w:sz w:val="24"/>
          <w:szCs w:val="24"/>
        </w:rPr>
        <w:t>consistent</w:t>
      </w:r>
      <w:r>
        <w:rPr>
          <w:sz w:val="24"/>
          <w:szCs w:val="24"/>
        </w:rPr>
        <w:t xml:space="preserve"> management of lab equipment and stocks inventory, including hazardous materials, and will collaborate with faculty lab directors to arrange and equip effective labs for teaching and research</w:t>
      </w:r>
      <w:r w:rsidR="007943E8">
        <w:rPr>
          <w:sz w:val="24"/>
          <w:szCs w:val="24"/>
        </w:rPr>
        <w:t xml:space="preserve">. </w:t>
      </w:r>
      <w:r w:rsidR="007943E8" w:rsidRPr="007943E8">
        <w:rPr>
          <w:sz w:val="24"/>
        </w:rPr>
        <w:t xml:space="preserve"> </w:t>
      </w:r>
      <w:r w:rsidR="007943E8">
        <w:rPr>
          <w:sz w:val="24"/>
        </w:rPr>
        <w:t xml:space="preserve">As the 17 existing labs in the college expand to 30 larger labs and shops in the new and renovated existing buildings, this position will be essential for equipping and establishing safe operations in the new labs.  </w:t>
      </w:r>
    </w:p>
    <w:p w:rsidR="007943E8" w:rsidRDefault="007943E8" w:rsidP="00771741">
      <w:pPr>
        <w:rPr>
          <w:sz w:val="24"/>
        </w:rPr>
      </w:pPr>
      <w:r>
        <w:rPr>
          <w:sz w:val="24"/>
        </w:rPr>
        <w:t xml:space="preserve">The college currently maintains a wide variety of </w:t>
      </w:r>
      <w:r w:rsidR="00C15DB4">
        <w:rPr>
          <w:sz w:val="24"/>
        </w:rPr>
        <w:t xml:space="preserve">technical </w:t>
      </w:r>
      <w:r>
        <w:rPr>
          <w:sz w:val="24"/>
        </w:rPr>
        <w:t>labs</w:t>
      </w:r>
      <w:r w:rsidR="00C15DB4">
        <w:rPr>
          <w:sz w:val="24"/>
        </w:rPr>
        <w:t xml:space="preserve"> requiring oversight and expertise</w:t>
      </w:r>
      <w:r>
        <w:rPr>
          <w:sz w:val="24"/>
        </w:rPr>
        <w:t xml:space="preserve">, including: </w:t>
      </w:r>
      <w:r w:rsidR="00C15DB4">
        <w:rPr>
          <w:sz w:val="24"/>
        </w:rPr>
        <w:t>corrosion</w:t>
      </w:r>
      <w:r>
        <w:rPr>
          <w:sz w:val="24"/>
        </w:rPr>
        <w:t>; prototype modeling; structures and materials; thermal design; electronics; environmental quality; fluid mechanics; geomatics; computer systems; soils</w:t>
      </w:r>
      <w:r w:rsidR="00C15DB4">
        <w:rPr>
          <w:sz w:val="24"/>
        </w:rPr>
        <w:t>;</w:t>
      </w:r>
      <w:r>
        <w:rPr>
          <w:sz w:val="24"/>
        </w:rPr>
        <w:t xml:space="preserve"> </w:t>
      </w:r>
      <w:r w:rsidR="00C15DB4">
        <w:rPr>
          <w:sz w:val="24"/>
        </w:rPr>
        <w:t>earthquake engineering</w:t>
      </w:r>
      <w:r>
        <w:rPr>
          <w:sz w:val="24"/>
        </w:rPr>
        <w:t>; testing labs</w:t>
      </w:r>
      <w:r w:rsidR="00C15DB4">
        <w:rPr>
          <w:sz w:val="24"/>
        </w:rPr>
        <w:t xml:space="preserve"> and a cold walk-in freezer</w:t>
      </w:r>
      <w:r>
        <w:rPr>
          <w:sz w:val="24"/>
        </w:rPr>
        <w:t xml:space="preserve">.   </w:t>
      </w:r>
      <w:r w:rsidR="00C15DB4">
        <w:rPr>
          <w:sz w:val="24"/>
        </w:rPr>
        <w:t xml:space="preserve">Examples of new labs coming on line in the new facility include: cold regions; microscopy; wet chemistry; and a rooftop antenna dome. </w:t>
      </w:r>
    </w:p>
    <w:p w:rsidR="007943E8" w:rsidRDefault="007943E8" w:rsidP="00771741">
      <w:pPr>
        <w:rPr>
          <w:sz w:val="24"/>
        </w:rPr>
      </w:pPr>
    </w:p>
    <w:p w:rsidR="00771741" w:rsidRDefault="00771741" w:rsidP="00771741">
      <w:pPr>
        <w:rPr>
          <w:rFonts w:asciiTheme="minorHAnsi" w:hAnsiTheme="minorHAnsi"/>
          <w:b/>
          <w:sz w:val="28"/>
          <w:szCs w:val="24"/>
        </w:rPr>
      </w:pPr>
      <w:r w:rsidRPr="00115EC9">
        <w:rPr>
          <w:rFonts w:asciiTheme="minorHAnsi" w:hAnsiTheme="minorHAnsi"/>
          <w:b/>
          <w:sz w:val="28"/>
          <w:szCs w:val="24"/>
        </w:rPr>
        <w:t>MSC Valley Center for Arts and Learning Technician</w:t>
      </w:r>
      <w:r>
        <w:rPr>
          <w:rFonts w:asciiTheme="minorHAnsi" w:hAnsiTheme="minorHAnsi"/>
          <w:b/>
          <w:sz w:val="28"/>
          <w:szCs w:val="24"/>
        </w:rPr>
        <w:t>,</w:t>
      </w:r>
      <w:r w:rsidRPr="00115EC9">
        <w:rPr>
          <w:rFonts w:asciiTheme="minorHAnsi" w:hAnsiTheme="minorHAnsi"/>
          <w:b/>
          <w:sz w:val="28"/>
          <w:szCs w:val="24"/>
        </w:rPr>
        <w:t xml:space="preserve"> $60.5 GF</w:t>
      </w:r>
    </w:p>
    <w:p w:rsidR="00771741" w:rsidRDefault="00771741" w:rsidP="00771741">
      <w:pPr>
        <w:rPr>
          <w:rFonts w:asciiTheme="minorHAnsi" w:hAnsiTheme="minorHAnsi"/>
          <w:sz w:val="24"/>
          <w:szCs w:val="24"/>
        </w:rPr>
      </w:pPr>
      <w:r w:rsidRPr="00573568">
        <w:rPr>
          <w:rFonts w:asciiTheme="minorHAnsi" w:eastAsia="Times New Roman" w:hAnsiTheme="minorHAnsi"/>
          <w:sz w:val="24"/>
          <w:szCs w:val="24"/>
        </w:rPr>
        <w:t>The Theatre Technician for the MSC Theater is a vital role for the success</w:t>
      </w:r>
      <w:r w:rsidR="00C43065">
        <w:rPr>
          <w:rFonts w:asciiTheme="minorHAnsi" w:eastAsia="Times New Roman" w:hAnsiTheme="minorHAnsi"/>
          <w:sz w:val="24"/>
          <w:szCs w:val="24"/>
        </w:rPr>
        <w:t>ful operation of the facility and will bring the full-time staff</w:t>
      </w:r>
      <w:r w:rsidR="00873771">
        <w:rPr>
          <w:rFonts w:asciiTheme="minorHAnsi" w:eastAsia="Times New Roman" w:hAnsiTheme="minorHAnsi"/>
          <w:sz w:val="24"/>
          <w:szCs w:val="24"/>
        </w:rPr>
        <w:t xml:space="preserve"> supporting the daily operation of this</w:t>
      </w:r>
      <w:r w:rsidR="00C43065">
        <w:rPr>
          <w:rFonts w:asciiTheme="minorHAnsi" w:eastAsia="Times New Roman" w:hAnsiTheme="minorHAnsi"/>
          <w:sz w:val="24"/>
          <w:szCs w:val="24"/>
        </w:rPr>
        <w:t xml:space="preserve"> facility to only two.  </w:t>
      </w:r>
      <w:r w:rsidRPr="00573568">
        <w:rPr>
          <w:rFonts w:asciiTheme="minorHAnsi" w:eastAsia="Times New Roman" w:hAnsiTheme="minorHAnsi"/>
          <w:sz w:val="24"/>
          <w:szCs w:val="24"/>
        </w:rPr>
        <w:t xml:space="preserve">In most cases, the needs of an event in the theater will require at </w:t>
      </w:r>
      <w:r w:rsidR="00DE459E">
        <w:rPr>
          <w:rFonts w:asciiTheme="minorHAnsi" w:eastAsia="Times New Roman" w:hAnsiTheme="minorHAnsi"/>
          <w:sz w:val="24"/>
          <w:szCs w:val="24"/>
        </w:rPr>
        <w:t xml:space="preserve">least two technical personnel.  </w:t>
      </w:r>
      <w:r w:rsidRPr="00573568">
        <w:rPr>
          <w:rFonts w:asciiTheme="minorHAnsi" w:eastAsia="Times New Roman" w:hAnsiTheme="minorHAnsi"/>
          <w:sz w:val="24"/>
          <w:szCs w:val="24"/>
        </w:rPr>
        <w:t xml:space="preserve">For example, a technician to run lights and another to run sound or to be backstage.  Also, when setting up an event, at least two people will be required in order to safely lift heavier objects or to safely work at heights ranging from 15 to 65 feet.  When using a ladder or personnel lift, two people should always be present; working alone in these conditions is very hazardous.  Even when setting light positions for </w:t>
      </w:r>
      <w:r w:rsidRPr="00573568">
        <w:rPr>
          <w:rFonts w:asciiTheme="minorHAnsi" w:eastAsia="Times New Roman" w:hAnsiTheme="minorHAnsi"/>
          <w:sz w:val="24"/>
          <w:szCs w:val="24"/>
        </w:rPr>
        <w:lastRenderedPageBreak/>
        <w:t>an event, one person is needed onstage to focus the position and one at the light in order to operate it.  Finally, the schedule of the theatre will be extremely varied.  This could result in having events early in the morning</w:t>
      </w:r>
      <w:bookmarkStart w:id="0" w:name="_GoBack"/>
      <w:bookmarkEnd w:id="0"/>
      <w:r w:rsidRPr="00573568">
        <w:rPr>
          <w:rFonts w:asciiTheme="minorHAnsi" w:eastAsia="Times New Roman" w:hAnsiTheme="minorHAnsi"/>
          <w:sz w:val="24"/>
          <w:szCs w:val="24"/>
        </w:rPr>
        <w:t xml:space="preserve"> and other events that go until midnight or 1:00 a.m. after tearing down and cleaning up.  In this regard, having the additional staff member will allow for both the director and technician to work out their schedules and be able to cover all of the events safely and effectively.</w:t>
      </w:r>
      <w:r w:rsidRPr="00573568">
        <w:rPr>
          <w:rFonts w:asciiTheme="minorHAnsi" w:eastAsia="Times New Roman" w:hAnsiTheme="minorHAnsi"/>
          <w:sz w:val="24"/>
          <w:szCs w:val="24"/>
        </w:rPr>
        <w:br/>
      </w:r>
    </w:p>
    <w:p w:rsidR="00771741" w:rsidRDefault="00771741" w:rsidP="00771741">
      <w:pPr>
        <w:rPr>
          <w:rFonts w:asciiTheme="minorHAnsi" w:hAnsiTheme="minorHAnsi"/>
          <w:b/>
          <w:sz w:val="28"/>
          <w:szCs w:val="24"/>
          <w:lang w:val="en"/>
        </w:rPr>
      </w:pPr>
      <w:r w:rsidRPr="00115EC9">
        <w:rPr>
          <w:rFonts w:asciiTheme="minorHAnsi" w:hAnsiTheme="minorHAnsi"/>
          <w:b/>
          <w:sz w:val="28"/>
          <w:szCs w:val="24"/>
          <w:lang w:val="en"/>
        </w:rPr>
        <w:t>Police Officer Anchorage Campus UPD</w:t>
      </w:r>
      <w:r>
        <w:rPr>
          <w:rFonts w:asciiTheme="minorHAnsi" w:hAnsiTheme="minorHAnsi"/>
          <w:b/>
          <w:sz w:val="28"/>
          <w:szCs w:val="24"/>
          <w:lang w:val="en"/>
        </w:rPr>
        <w:t>,</w:t>
      </w:r>
      <w:r w:rsidRPr="00115EC9">
        <w:rPr>
          <w:rFonts w:asciiTheme="minorHAnsi" w:hAnsiTheme="minorHAnsi"/>
          <w:b/>
          <w:sz w:val="28"/>
          <w:szCs w:val="24"/>
          <w:lang w:val="en"/>
        </w:rPr>
        <w:t xml:space="preserve"> $100.0 GF</w:t>
      </w:r>
    </w:p>
    <w:p w:rsidR="002375BE" w:rsidRPr="002375BE" w:rsidRDefault="002375BE" w:rsidP="002375BE">
      <w:pPr>
        <w:rPr>
          <w:rFonts w:eastAsia="Calibri"/>
          <w:sz w:val="24"/>
        </w:rPr>
      </w:pPr>
      <w:r w:rsidRPr="002375BE">
        <w:rPr>
          <w:sz w:val="24"/>
        </w:rPr>
        <w:t>UAA needs to continue to grow its police force.</w:t>
      </w:r>
      <w:r w:rsidRPr="002375BE">
        <w:rPr>
          <w:rFonts w:eastAsia="Calibri"/>
          <w:sz w:val="24"/>
        </w:rPr>
        <w:t xml:space="preserve"> </w:t>
      </w:r>
      <w:r w:rsidRPr="002375BE">
        <w:rPr>
          <w:sz w:val="24"/>
        </w:rPr>
        <w:t xml:space="preserve">The University Police Department, when fully staffed has 16 officers.  That’s less than one officer per thousand community members.  National standards for community based policing models at comprehensive, urban universities of our size, based on our location, number of buildings, total community </w:t>
      </w:r>
      <w:proofErr w:type="gramStart"/>
      <w:r w:rsidRPr="002375BE">
        <w:rPr>
          <w:sz w:val="24"/>
        </w:rPr>
        <w:t>members,</w:t>
      </w:r>
      <w:proofErr w:type="gramEnd"/>
      <w:r w:rsidRPr="002375BE">
        <w:rPr>
          <w:sz w:val="24"/>
        </w:rPr>
        <w:t xml:space="preserve"> say that number should be closer to 1.8-3.0 officers per thousand.  </w:t>
      </w:r>
      <w:r w:rsidRPr="002375BE">
        <w:rPr>
          <w:rFonts w:eastAsia="Calibri"/>
          <w:sz w:val="24"/>
        </w:rPr>
        <w:t xml:space="preserve">Regardless of what type of staffing study one would subscribe to, all concur that if you have a community based policing model, it will take more staff,   and our officers have a very strong “community” mindset.   They interact with the students via a myriad of presentations and training, provide safety escorts around campus and help community members in many other ways.  </w:t>
      </w:r>
    </w:p>
    <w:p w:rsidR="00477847" w:rsidRPr="00573568" w:rsidRDefault="00477847" w:rsidP="00BC50BE">
      <w:pPr>
        <w:rPr>
          <w:rFonts w:asciiTheme="minorHAnsi" w:hAnsiTheme="minorHAnsi"/>
          <w:b/>
          <w:sz w:val="24"/>
          <w:szCs w:val="24"/>
          <w:highlight w:val="yellow"/>
        </w:rPr>
      </w:pPr>
    </w:p>
    <w:sectPr w:rsidR="00477847" w:rsidRPr="00573568" w:rsidSect="0074377E">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34" w:rsidRDefault="00A14B34" w:rsidP="00263244">
      <w:r>
        <w:separator/>
      </w:r>
    </w:p>
  </w:endnote>
  <w:endnote w:type="continuationSeparator" w:id="0">
    <w:p w:rsidR="00A14B34" w:rsidRDefault="00A14B34" w:rsidP="0026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Malgun Gothic"/>
    <w:panose1 w:val="020B05020505080203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34" w:rsidRDefault="00A14B34" w:rsidP="00263244">
      <w:r>
        <w:separator/>
      </w:r>
    </w:p>
  </w:footnote>
  <w:footnote w:type="continuationSeparator" w:id="0">
    <w:p w:rsidR="00A14B34" w:rsidRDefault="00A14B34" w:rsidP="00263244">
      <w:r>
        <w:continuationSeparator/>
      </w:r>
    </w:p>
  </w:footnote>
  <w:footnote w:id="1">
    <w:p w:rsidR="00263244" w:rsidRPr="00952D0D" w:rsidRDefault="00263244" w:rsidP="00263244">
      <w:pPr>
        <w:pStyle w:val="FootnoteText"/>
        <w:rPr>
          <w:rFonts w:ascii="Times New Roman" w:hAnsi="Times New Roman"/>
          <w:sz w:val="20"/>
          <w:szCs w:val="20"/>
        </w:rPr>
      </w:pPr>
      <w:r w:rsidRPr="00952D0D">
        <w:rPr>
          <w:rStyle w:val="FootnoteReference"/>
          <w:rFonts w:ascii="Times New Roman" w:hAnsi="Times New Roman"/>
          <w:sz w:val="20"/>
          <w:szCs w:val="20"/>
        </w:rPr>
        <w:footnoteRef/>
      </w:r>
      <w:r w:rsidRPr="00952D0D">
        <w:rPr>
          <w:rFonts w:ascii="Times New Roman" w:hAnsi="Times New Roman"/>
          <w:sz w:val="20"/>
          <w:szCs w:val="20"/>
        </w:rPr>
        <w:t xml:space="preserve"> Habley, W., Bloom, J., &amp; Robbins, R. (2012). Increasing persistence: research-based strategies for college student success. Jossey-Bass.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F6B"/>
    <w:multiLevelType w:val="hybridMultilevel"/>
    <w:tmpl w:val="030A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D0F4E"/>
    <w:multiLevelType w:val="hybridMultilevel"/>
    <w:tmpl w:val="BF16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32F65"/>
    <w:multiLevelType w:val="hybridMultilevel"/>
    <w:tmpl w:val="D578DF7A"/>
    <w:lvl w:ilvl="0" w:tplc="D536FD0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E11D0"/>
    <w:multiLevelType w:val="hybridMultilevel"/>
    <w:tmpl w:val="F4C49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C6C2FF5"/>
    <w:multiLevelType w:val="hybridMultilevel"/>
    <w:tmpl w:val="338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837CC6"/>
    <w:multiLevelType w:val="hybridMultilevel"/>
    <w:tmpl w:val="74D21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12323A"/>
    <w:multiLevelType w:val="hybridMultilevel"/>
    <w:tmpl w:val="12EC5644"/>
    <w:lvl w:ilvl="0" w:tplc="04090001">
      <w:start w:val="1"/>
      <w:numFmt w:val="bullet"/>
      <w:lvlText w:val=""/>
      <w:lvlJc w:val="left"/>
      <w:pPr>
        <w:ind w:left="720" w:hanging="360"/>
      </w:pPr>
      <w:rPr>
        <w:rFonts w:ascii="Symbol" w:hAnsi="Symbol" w:hint="default"/>
      </w:rPr>
    </w:lvl>
    <w:lvl w:ilvl="1" w:tplc="C250006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B1163D"/>
    <w:multiLevelType w:val="hybridMultilevel"/>
    <w:tmpl w:val="37D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D1FD8"/>
    <w:multiLevelType w:val="hybridMultilevel"/>
    <w:tmpl w:val="9774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2D075FB"/>
    <w:multiLevelType w:val="hybridMultilevel"/>
    <w:tmpl w:val="D03C1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C5351D8"/>
    <w:multiLevelType w:val="hybridMultilevel"/>
    <w:tmpl w:val="2734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4"/>
  </w:num>
  <w:num w:numId="9">
    <w:abstractNumId w:val="10"/>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611"/>
    <w:rsid w:val="0000004F"/>
    <w:rsid w:val="0001209F"/>
    <w:rsid w:val="00014F1A"/>
    <w:rsid w:val="000410EF"/>
    <w:rsid w:val="00046845"/>
    <w:rsid w:val="00060018"/>
    <w:rsid w:val="0006788B"/>
    <w:rsid w:val="00073FA5"/>
    <w:rsid w:val="000753C1"/>
    <w:rsid w:val="00081A19"/>
    <w:rsid w:val="00083039"/>
    <w:rsid w:val="00090318"/>
    <w:rsid w:val="00091168"/>
    <w:rsid w:val="00097FAA"/>
    <w:rsid w:val="000C7677"/>
    <w:rsid w:val="000D4B11"/>
    <w:rsid w:val="00100A9B"/>
    <w:rsid w:val="00111373"/>
    <w:rsid w:val="00112A82"/>
    <w:rsid w:val="0011527C"/>
    <w:rsid w:val="00115EC9"/>
    <w:rsid w:val="0012682A"/>
    <w:rsid w:val="00132074"/>
    <w:rsid w:val="0013416E"/>
    <w:rsid w:val="0016648C"/>
    <w:rsid w:val="0017083F"/>
    <w:rsid w:val="0017160C"/>
    <w:rsid w:val="001845D5"/>
    <w:rsid w:val="001935BA"/>
    <w:rsid w:val="0019511E"/>
    <w:rsid w:val="00195C3F"/>
    <w:rsid w:val="001B0D9F"/>
    <w:rsid w:val="001B5958"/>
    <w:rsid w:val="001C0CAF"/>
    <w:rsid w:val="001C7870"/>
    <w:rsid w:val="001D0280"/>
    <w:rsid w:val="00200832"/>
    <w:rsid w:val="0020400C"/>
    <w:rsid w:val="00226E17"/>
    <w:rsid w:val="002375BE"/>
    <w:rsid w:val="002419A0"/>
    <w:rsid w:val="00247C1D"/>
    <w:rsid w:val="0025034C"/>
    <w:rsid w:val="0025314C"/>
    <w:rsid w:val="00256A7A"/>
    <w:rsid w:val="00263244"/>
    <w:rsid w:val="00282F47"/>
    <w:rsid w:val="002951BE"/>
    <w:rsid w:val="002C243C"/>
    <w:rsid w:val="002C5471"/>
    <w:rsid w:val="002C560B"/>
    <w:rsid w:val="002D4BA3"/>
    <w:rsid w:val="002E0853"/>
    <w:rsid w:val="002E1BBB"/>
    <w:rsid w:val="002E7DA3"/>
    <w:rsid w:val="00304E2D"/>
    <w:rsid w:val="00305947"/>
    <w:rsid w:val="00315F6D"/>
    <w:rsid w:val="00317660"/>
    <w:rsid w:val="00321BB9"/>
    <w:rsid w:val="003225D5"/>
    <w:rsid w:val="00340055"/>
    <w:rsid w:val="003416C8"/>
    <w:rsid w:val="003741DF"/>
    <w:rsid w:val="00377148"/>
    <w:rsid w:val="003831B4"/>
    <w:rsid w:val="00397801"/>
    <w:rsid w:val="003A24A7"/>
    <w:rsid w:val="003C2AC3"/>
    <w:rsid w:val="003D5345"/>
    <w:rsid w:val="003D627C"/>
    <w:rsid w:val="004003CD"/>
    <w:rsid w:val="00411B80"/>
    <w:rsid w:val="00417A0D"/>
    <w:rsid w:val="0042592B"/>
    <w:rsid w:val="00430B02"/>
    <w:rsid w:val="00434911"/>
    <w:rsid w:val="004529F6"/>
    <w:rsid w:val="00477847"/>
    <w:rsid w:val="0048359F"/>
    <w:rsid w:val="0048641D"/>
    <w:rsid w:val="004C3ACF"/>
    <w:rsid w:val="004C5290"/>
    <w:rsid w:val="004C5777"/>
    <w:rsid w:val="004D1C5C"/>
    <w:rsid w:val="004D48E5"/>
    <w:rsid w:val="004D4E46"/>
    <w:rsid w:val="004E43AD"/>
    <w:rsid w:val="004F338F"/>
    <w:rsid w:val="004F381F"/>
    <w:rsid w:val="0050439D"/>
    <w:rsid w:val="00511195"/>
    <w:rsid w:val="00524841"/>
    <w:rsid w:val="00531815"/>
    <w:rsid w:val="00534907"/>
    <w:rsid w:val="00540A52"/>
    <w:rsid w:val="00545F77"/>
    <w:rsid w:val="00555793"/>
    <w:rsid w:val="00565EBF"/>
    <w:rsid w:val="00566DA6"/>
    <w:rsid w:val="00570F5E"/>
    <w:rsid w:val="00572105"/>
    <w:rsid w:val="00572E5D"/>
    <w:rsid w:val="00573568"/>
    <w:rsid w:val="00574153"/>
    <w:rsid w:val="00576459"/>
    <w:rsid w:val="00580C84"/>
    <w:rsid w:val="0058511F"/>
    <w:rsid w:val="00592E94"/>
    <w:rsid w:val="00594621"/>
    <w:rsid w:val="005A1639"/>
    <w:rsid w:val="005B74E7"/>
    <w:rsid w:val="005C556D"/>
    <w:rsid w:val="005D0292"/>
    <w:rsid w:val="005E5C8E"/>
    <w:rsid w:val="005E6AEC"/>
    <w:rsid w:val="005F7397"/>
    <w:rsid w:val="005F774B"/>
    <w:rsid w:val="00602031"/>
    <w:rsid w:val="0060280C"/>
    <w:rsid w:val="00602DEC"/>
    <w:rsid w:val="006124A6"/>
    <w:rsid w:val="0061313E"/>
    <w:rsid w:val="00623AC4"/>
    <w:rsid w:val="0062483C"/>
    <w:rsid w:val="006256B8"/>
    <w:rsid w:val="0062714C"/>
    <w:rsid w:val="00627C8F"/>
    <w:rsid w:val="0063536E"/>
    <w:rsid w:val="006422BE"/>
    <w:rsid w:val="00655854"/>
    <w:rsid w:val="00657A97"/>
    <w:rsid w:val="00661CFA"/>
    <w:rsid w:val="00664E15"/>
    <w:rsid w:val="0066570A"/>
    <w:rsid w:val="006742EB"/>
    <w:rsid w:val="00686DE8"/>
    <w:rsid w:val="006A1C3A"/>
    <w:rsid w:val="006A40C9"/>
    <w:rsid w:val="006B3B74"/>
    <w:rsid w:val="006C1CD6"/>
    <w:rsid w:val="006C415E"/>
    <w:rsid w:val="006D476D"/>
    <w:rsid w:val="006E2E77"/>
    <w:rsid w:val="006E6E8A"/>
    <w:rsid w:val="006F5D41"/>
    <w:rsid w:val="00704611"/>
    <w:rsid w:val="007050B4"/>
    <w:rsid w:val="00710859"/>
    <w:rsid w:val="00717020"/>
    <w:rsid w:val="00730CA4"/>
    <w:rsid w:val="00733D63"/>
    <w:rsid w:val="007367D3"/>
    <w:rsid w:val="00742932"/>
    <w:rsid w:val="0074377E"/>
    <w:rsid w:val="007559D2"/>
    <w:rsid w:val="00764A5A"/>
    <w:rsid w:val="00771741"/>
    <w:rsid w:val="00772B33"/>
    <w:rsid w:val="007845EC"/>
    <w:rsid w:val="00785339"/>
    <w:rsid w:val="00792AD0"/>
    <w:rsid w:val="00793328"/>
    <w:rsid w:val="007943E8"/>
    <w:rsid w:val="007A32F0"/>
    <w:rsid w:val="007B2A32"/>
    <w:rsid w:val="007D203E"/>
    <w:rsid w:val="007D4095"/>
    <w:rsid w:val="007D40AB"/>
    <w:rsid w:val="007D69A2"/>
    <w:rsid w:val="007E0B93"/>
    <w:rsid w:val="007E1676"/>
    <w:rsid w:val="007E519A"/>
    <w:rsid w:val="007E620E"/>
    <w:rsid w:val="007F397D"/>
    <w:rsid w:val="007F5382"/>
    <w:rsid w:val="00812AA7"/>
    <w:rsid w:val="00820BCC"/>
    <w:rsid w:val="00826EA2"/>
    <w:rsid w:val="0083292D"/>
    <w:rsid w:val="00832CC6"/>
    <w:rsid w:val="00851E10"/>
    <w:rsid w:val="00873771"/>
    <w:rsid w:val="00885B01"/>
    <w:rsid w:val="0088619E"/>
    <w:rsid w:val="008938F7"/>
    <w:rsid w:val="00894AE1"/>
    <w:rsid w:val="008A0F10"/>
    <w:rsid w:val="008A6D07"/>
    <w:rsid w:val="008B18A0"/>
    <w:rsid w:val="008C0774"/>
    <w:rsid w:val="008C2A6C"/>
    <w:rsid w:val="008E3844"/>
    <w:rsid w:val="008F47F3"/>
    <w:rsid w:val="008F4B93"/>
    <w:rsid w:val="008F62BA"/>
    <w:rsid w:val="00913BAA"/>
    <w:rsid w:val="00916B0E"/>
    <w:rsid w:val="00917C50"/>
    <w:rsid w:val="0092089F"/>
    <w:rsid w:val="0092138F"/>
    <w:rsid w:val="00947F8D"/>
    <w:rsid w:val="00951286"/>
    <w:rsid w:val="009528FA"/>
    <w:rsid w:val="00965947"/>
    <w:rsid w:val="009659DA"/>
    <w:rsid w:val="00976DE5"/>
    <w:rsid w:val="00983586"/>
    <w:rsid w:val="009867EA"/>
    <w:rsid w:val="00992698"/>
    <w:rsid w:val="00994715"/>
    <w:rsid w:val="009B5D5B"/>
    <w:rsid w:val="009B64A1"/>
    <w:rsid w:val="009C1853"/>
    <w:rsid w:val="009D222D"/>
    <w:rsid w:val="009D3ED7"/>
    <w:rsid w:val="009F444A"/>
    <w:rsid w:val="009F52F9"/>
    <w:rsid w:val="00A14B34"/>
    <w:rsid w:val="00A247E8"/>
    <w:rsid w:val="00A33CAE"/>
    <w:rsid w:val="00A369A4"/>
    <w:rsid w:val="00A436EC"/>
    <w:rsid w:val="00A43C7D"/>
    <w:rsid w:val="00A54DAC"/>
    <w:rsid w:val="00A57BD6"/>
    <w:rsid w:val="00A62BAC"/>
    <w:rsid w:val="00A65B66"/>
    <w:rsid w:val="00A7345A"/>
    <w:rsid w:val="00A73609"/>
    <w:rsid w:val="00A77B64"/>
    <w:rsid w:val="00A85078"/>
    <w:rsid w:val="00A95606"/>
    <w:rsid w:val="00AA5C04"/>
    <w:rsid w:val="00AB4661"/>
    <w:rsid w:val="00AB74C5"/>
    <w:rsid w:val="00AC7493"/>
    <w:rsid w:val="00AD216E"/>
    <w:rsid w:val="00AD550D"/>
    <w:rsid w:val="00AD71CE"/>
    <w:rsid w:val="00AE5694"/>
    <w:rsid w:val="00B17902"/>
    <w:rsid w:val="00B3522E"/>
    <w:rsid w:val="00B5166B"/>
    <w:rsid w:val="00B526F3"/>
    <w:rsid w:val="00B529E6"/>
    <w:rsid w:val="00B542CE"/>
    <w:rsid w:val="00B64D94"/>
    <w:rsid w:val="00B761A4"/>
    <w:rsid w:val="00BB7578"/>
    <w:rsid w:val="00BC3D4F"/>
    <w:rsid w:val="00BC50BE"/>
    <w:rsid w:val="00BD1DF0"/>
    <w:rsid w:val="00BF7659"/>
    <w:rsid w:val="00C01B3E"/>
    <w:rsid w:val="00C01C28"/>
    <w:rsid w:val="00C072E5"/>
    <w:rsid w:val="00C11DAA"/>
    <w:rsid w:val="00C15DB4"/>
    <w:rsid w:val="00C22582"/>
    <w:rsid w:val="00C23897"/>
    <w:rsid w:val="00C267D0"/>
    <w:rsid w:val="00C42E67"/>
    <w:rsid w:val="00C43065"/>
    <w:rsid w:val="00C4544F"/>
    <w:rsid w:val="00C604E9"/>
    <w:rsid w:val="00C6714F"/>
    <w:rsid w:val="00C74739"/>
    <w:rsid w:val="00C812BA"/>
    <w:rsid w:val="00C87CBD"/>
    <w:rsid w:val="00C90BEC"/>
    <w:rsid w:val="00C9342C"/>
    <w:rsid w:val="00C947FD"/>
    <w:rsid w:val="00C94A9F"/>
    <w:rsid w:val="00C97F72"/>
    <w:rsid w:val="00CA4850"/>
    <w:rsid w:val="00CC71A3"/>
    <w:rsid w:val="00CD14A6"/>
    <w:rsid w:val="00CE0EED"/>
    <w:rsid w:val="00CE135D"/>
    <w:rsid w:val="00CF0BB8"/>
    <w:rsid w:val="00CF1794"/>
    <w:rsid w:val="00CF7371"/>
    <w:rsid w:val="00CF7951"/>
    <w:rsid w:val="00D147C2"/>
    <w:rsid w:val="00D324AF"/>
    <w:rsid w:val="00D32500"/>
    <w:rsid w:val="00D46919"/>
    <w:rsid w:val="00D47296"/>
    <w:rsid w:val="00D4751E"/>
    <w:rsid w:val="00D509C4"/>
    <w:rsid w:val="00D51B66"/>
    <w:rsid w:val="00D65DD4"/>
    <w:rsid w:val="00D7014B"/>
    <w:rsid w:val="00D72768"/>
    <w:rsid w:val="00DA2B44"/>
    <w:rsid w:val="00DB3E84"/>
    <w:rsid w:val="00DB6999"/>
    <w:rsid w:val="00DD13E4"/>
    <w:rsid w:val="00DE459E"/>
    <w:rsid w:val="00E02907"/>
    <w:rsid w:val="00E0349E"/>
    <w:rsid w:val="00E045CB"/>
    <w:rsid w:val="00E076D1"/>
    <w:rsid w:val="00E40E90"/>
    <w:rsid w:val="00E453EA"/>
    <w:rsid w:val="00E54E49"/>
    <w:rsid w:val="00E56A45"/>
    <w:rsid w:val="00E61720"/>
    <w:rsid w:val="00E65CE0"/>
    <w:rsid w:val="00E83F31"/>
    <w:rsid w:val="00E84A49"/>
    <w:rsid w:val="00E902A3"/>
    <w:rsid w:val="00EA3E3E"/>
    <w:rsid w:val="00EB610B"/>
    <w:rsid w:val="00EC0159"/>
    <w:rsid w:val="00EC5EC9"/>
    <w:rsid w:val="00EC6608"/>
    <w:rsid w:val="00ED56FD"/>
    <w:rsid w:val="00EE2807"/>
    <w:rsid w:val="00EE4C79"/>
    <w:rsid w:val="00EF7F34"/>
    <w:rsid w:val="00F059B8"/>
    <w:rsid w:val="00F134CC"/>
    <w:rsid w:val="00F20B0D"/>
    <w:rsid w:val="00F31590"/>
    <w:rsid w:val="00F3404A"/>
    <w:rsid w:val="00F443E4"/>
    <w:rsid w:val="00F461FC"/>
    <w:rsid w:val="00F55215"/>
    <w:rsid w:val="00F56322"/>
    <w:rsid w:val="00F65795"/>
    <w:rsid w:val="00F92EE3"/>
    <w:rsid w:val="00F96E42"/>
    <w:rsid w:val="00FA4128"/>
    <w:rsid w:val="00FB43B2"/>
    <w:rsid w:val="00FC1760"/>
    <w:rsid w:val="00FE287C"/>
    <w:rsid w:val="00FE4FAC"/>
    <w:rsid w:val="00FF10E1"/>
    <w:rsid w:val="00FF1553"/>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AE"/>
    <w:pPr>
      <w:spacing w:after="0" w:line="240" w:lineRule="auto"/>
    </w:pPr>
  </w:style>
  <w:style w:type="paragraph" w:customStyle="1" w:styleId="AttachmentVPara">
    <w:name w:val="Attachment V Para"/>
    <w:basedOn w:val="Normal"/>
    <w:qFormat/>
    <w:rsid w:val="00263244"/>
    <w:pPr>
      <w:ind w:left="360"/>
    </w:pPr>
    <w:rPr>
      <w:rFonts w:ascii="Optima" w:eastAsia="Times New Roman" w:hAnsi="Optima"/>
      <w:sz w:val="20"/>
      <w:szCs w:val="20"/>
    </w:rPr>
  </w:style>
  <w:style w:type="paragraph" w:styleId="FootnoteText">
    <w:name w:val="footnote text"/>
    <w:basedOn w:val="Normal"/>
    <w:link w:val="FootnoteTextChar"/>
    <w:uiPriority w:val="99"/>
    <w:unhideWhenUsed/>
    <w:rsid w:val="00263244"/>
    <w:rPr>
      <w:rFonts w:ascii="Garamond" w:eastAsia="Times New Roman" w:hAnsi="Garamond"/>
      <w:sz w:val="24"/>
      <w:szCs w:val="24"/>
    </w:rPr>
  </w:style>
  <w:style w:type="character" w:customStyle="1" w:styleId="FootnoteTextChar">
    <w:name w:val="Footnote Text Char"/>
    <w:basedOn w:val="DefaultParagraphFont"/>
    <w:link w:val="FootnoteText"/>
    <w:uiPriority w:val="99"/>
    <w:rsid w:val="00263244"/>
    <w:rPr>
      <w:rFonts w:ascii="Garamond" w:eastAsia="Times New Roman" w:hAnsi="Garamond" w:cs="Times New Roman"/>
      <w:sz w:val="24"/>
      <w:szCs w:val="24"/>
    </w:rPr>
  </w:style>
  <w:style w:type="character" w:styleId="FootnoteReference">
    <w:name w:val="footnote reference"/>
    <w:basedOn w:val="DefaultParagraphFont"/>
    <w:uiPriority w:val="99"/>
    <w:unhideWhenUsed/>
    <w:rsid w:val="00263244"/>
    <w:rPr>
      <w:vertAlign w:val="superscript"/>
    </w:rPr>
  </w:style>
  <w:style w:type="paragraph" w:styleId="ListParagraph">
    <w:name w:val="List Paragraph"/>
    <w:basedOn w:val="Normal"/>
    <w:uiPriority w:val="34"/>
    <w:qFormat/>
    <w:rsid w:val="005D0292"/>
    <w:pPr>
      <w:ind w:left="720"/>
      <w:contextualSpacing/>
    </w:pPr>
  </w:style>
  <w:style w:type="paragraph" w:styleId="BalloonText">
    <w:name w:val="Balloon Text"/>
    <w:basedOn w:val="Normal"/>
    <w:link w:val="BalloonTextChar"/>
    <w:uiPriority w:val="99"/>
    <w:semiHidden/>
    <w:unhideWhenUsed/>
    <w:rsid w:val="00EF7F34"/>
    <w:rPr>
      <w:rFonts w:ascii="Tahoma" w:hAnsi="Tahoma" w:cs="Tahoma"/>
      <w:sz w:val="16"/>
      <w:szCs w:val="16"/>
    </w:rPr>
  </w:style>
  <w:style w:type="character" w:customStyle="1" w:styleId="BalloonTextChar">
    <w:name w:val="Balloon Text Char"/>
    <w:basedOn w:val="DefaultParagraphFont"/>
    <w:link w:val="BalloonText"/>
    <w:uiPriority w:val="99"/>
    <w:semiHidden/>
    <w:rsid w:val="00EF7F34"/>
    <w:rPr>
      <w:rFonts w:ascii="Tahoma" w:hAnsi="Tahoma" w:cs="Tahoma"/>
      <w:sz w:val="16"/>
      <w:szCs w:val="16"/>
    </w:rPr>
  </w:style>
  <w:style w:type="table" w:styleId="TableGrid">
    <w:name w:val="Table Grid"/>
    <w:basedOn w:val="TableNormal"/>
    <w:uiPriority w:val="59"/>
    <w:rsid w:val="00CF79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AE"/>
    <w:pPr>
      <w:spacing w:after="0" w:line="240" w:lineRule="auto"/>
    </w:pPr>
  </w:style>
  <w:style w:type="paragraph" w:customStyle="1" w:styleId="AttachmentVPara">
    <w:name w:val="Attachment V Para"/>
    <w:basedOn w:val="Normal"/>
    <w:qFormat/>
    <w:rsid w:val="00263244"/>
    <w:pPr>
      <w:ind w:left="360"/>
    </w:pPr>
    <w:rPr>
      <w:rFonts w:ascii="Optima" w:eastAsia="Times New Roman" w:hAnsi="Optima"/>
      <w:sz w:val="20"/>
      <w:szCs w:val="20"/>
    </w:rPr>
  </w:style>
  <w:style w:type="paragraph" w:styleId="FootnoteText">
    <w:name w:val="footnote text"/>
    <w:basedOn w:val="Normal"/>
    <w:link w:val="FootnoteTextChar"/>
    <w:uiPriority w:val="99"/>
    <w:unhideWhenUsed/>
    <w:rsid w:val="00263244"/>
    <w:rPr>
      <w:rFonts w:ascii="Garamond" w:eastAsia="Times New Roman" w:hAnsi="Garamond"/>
      <w:sz w:val="24"/>
      <w:szCs w:val="24"/>
    </w:rPr>
  </w:style>
  <w:style w:type="character" w:customStyle="1" w:styleId="FootnoteTextChar">
    <w:name w:val="Footnote Text Char"/>
    <w:basedOn w:val="DefaultParagraphFont"/>
    <w:link w:val="FootnoteText"/>
    <w:uiPriority w:val="99"/>
    <w:rsid w:val="00263244"/>
    <w:rPr>
      <w:rFonts w:ascii="Garamond" w:eastAsia="Times New Roman" w:hAnsi="Garamond" w:cs="Times New Roman"/>
      <w:sz w:val="24"/>
      <w:szCs w:val="24"/>
    </w:rPr>
  </w:style>
  <w:style w:type="character" w:styleId="FootnoteReference">
    <w:name w:val="footnote reference"/>
    <w:basedOn w:val="DefaultParagraphFont"/>
    <w:uiPriority w:val="99"/>
    <w:unhideWhenUsed/>
    <w:rsid w:val="00263244"/>
    <w:rPr>
      <w:vertAlign w:val="superscript"/>
    </w:rPr>
  </w:style>
  <w:style w:type="paragraph" w:styleId="ListParagraph">
    <w:name w:val="List Paragraph"/>
    <w:basedOn w:val="Normal"/>
    <w:uiPriority w:val="34"/>
    <w:qFormat/>
    <w:rsid w:val="005D0292"/>
    <w:pPr>
      <w:ind w:left="720"/>
      <w:contextualSpacing/>
    </w:pPr>
  </w:style>
  <w:style w:type="paragraph" w:styleId="BalloonText">
    <w:name w:val="Balloon Text"/>
    <w:basedOn w:val="Normal"/>
    <w:link w:val="BalloonTextChar"/>
    <w:uiPriority w:val="99"/>
    <w:semiHidden/>
    <w:unhideWhenUsed/>
    <w:rsid w:val="00EF7F34"/>
    <w:rPr>
      <w:rFonts w:ascii="Tahoma" w:hAnsi="Tahoma" w:cs="Tahoma"/>
      <w:sz w:val="16"/>
      <w:szCs w:val="16"/>
    </w:rPr>
  </w:style>
  <w:style w:type="character" w:customStyle="1" w:styleId="BalloonTextChar">
    <w:name w:val="Balloon Text Char"/>
    <w:basedOn w:val="DefaultParagraphFont"/>
    <w:link w:val="BalloonText"/>
    <w:uiPriority w:val="99"/>
    <w:semiHidden/>
    <w:rsid w:val="00EF7F34"/>
    <w:rPr>
      <w:rFonts w:ascii="Tahoma" w:hAnsi="Tahoma" w:cs="Tahoma"/>
      <w:sz w:val="16"/>
      <w:szCs w:val="16"/>
    </w:rPr>
  </w:style>
  <w:style w:type="table" w:styleId="TableGrid">
    <w:name w:val="Table Grid"/>
    <w:basedOn w:val="TableNormal"/>
    <w:uiPriority w:val="59"/>
    <w:rsid w:val="00CF79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372">
      <w:bodyDiv w:val="1"/>
      <w:marLeft w:val="0"/>
      <w:marRight w:val="0"/>
      <w:marTop w:val="0"/>
      <w:marBottom w:val="0"/>
      <w:divBdr>
        <w:top w:val="none" w:sz="0" w:space="0" w:color="auto"/>
        <w:left w:val="none" w:sz="0" w:space="0" w:color="auto"/>
        <w:bottom w:val="none" w:sz="0" w:space="0" w:color="auto"/>
        <w:right w:val="none" w:sz="0" w:space="0" w:color="auto"/>
      </w:divBdr>
    </w:div>
    <w:div w:id="123164118">
      <w:bodyDiv w:val="1"/>
      <w:marLeft w:val="0"/>
      <w:marRight w:val="0"/>
      <w:marTop w:val="0"/>
      <w:marBottom w:val="0"/>
      <w:divBdr>
        <w:top w:val="none" w:sz="0" w:space="0" w:color="auto"/>
        <w:left w:val="none" w:sz="0" w:space="0" w:color="auto"/>
        <w:bottom w:val="none" w:sz="0" w:space="0" w:color="auto"/>
        <w:right w:val="none" w:sz="0" w:space="0" w:color="auto"/>
      </w:divBdr>
    </w:div>
    <w:div w:id="149833204">
      <w:bodyDiv w:val="1"/>
      <w:marLeft w:val="0"/>
      <w:marRight w:val="0"/>
      <w:marTop w:val="0"/>
      <w:marBottom w:val="0"/>
      <w:divBdr>
        <w:top w:val="none" w:sz="0" w:space="0" w:color="auto"/>
        <w:left w:val="none" w:sz="0" w:space="0" w:color="auto"/>
        <w:bottom w:val="none" w:sz="0" w:space="0" w:color="auto"/>
        <w:right w:val="none" w:sz="0" w:space="0" w:color="auto"/>
      </w:divBdr>
    </w:div>
    <w:div w:id="312872878">
      <w:bodyDiv w:val="1"/>
      <w:marLeft w:val="0"/>
      <w:marRight w:val="0"/>
      <w:marTop w:val="0"/>
      <w:marBottom w:val="0"/>
      <w:divBdr>
        <w:top w:val="none" w:sz="0" w:space="0" w:color="auto"/>
        <w:left w:val="none" w:sz="0" w:space="0" w:color="auto"/>
        <w:bottom w:val="none" w:sz="0" w:space="0" w:color="auto"/>
        <w:right w:val="none" w:sz="0" w:space="0" w:color="auto"/>
      </w:divBdr>
    </w:div>
    <w:div w:id="425731439">
      <w:bodyDiv w:val="1"/>
      <w:marLeft w:val="0"/>
      <w:marRight w:val="0"/>
      <w:marTop w:val="0"/>
      <w:marBottom w:val="0"/>
      <w:divBdr>
        <w:top w:val="none" w:sz="0" w:space="0" w:color="auto"/>
        <w:left w:val="none" w:sz="0" w:space="0" w:color="auto"/>
        <w:bottom w:val="none" w:sz="0" w:space="0" w:color="auto"/>
        <w:right w:val="none" w:sz="0" w:space="0" w:color="auto"/>
      </w:divBdr>
    </w:div>
    <w:div w:id="527765775">
      <w:bodyDiv w:val="1"/>
      <w:marLeft w:val="0"/>
      <w:marRight w:val="0"/>
      <w:marTop w:val="0"/>
      <w:marBottom w:val="0"/>
      <w:divBdr>
        <w:top w:val="none" w:sz="0" w:space="0" w:color="auto"/>
        <w:left w:val="none" w:sz="0" w:space="0" w:color="auto"/>
        <w:bottom w:val="none" w:sz="0" w:space="0" w:color="auto"/>
        <w:right w:val="none" w:sz="0" w:space="0" w:color="auto"/>
      </w:divBdr>
    </w:div>
    <w:div w:id="1873415218">
      <w:bodyDiv w:val="1"/>
      <w:marLeft w:val="0"/>
      <w:marRight w:val="0"/>
      <w:marTop w:val="0"/>
      <w:marBottom w:val="0"/>
      <w:divBdr>
        <w:top w:val="none" w:sz="0" w:space="0" w:color="auto"/>
        <w:left w:val="none" w:sz="0" w:space="0" w:color="auto"/>
        <w:bottom w:val="none" w:sz="0" w:space="0" w:color="auto"/>
        <w:right w:val="none" w:sz="0" w:space="0" w:color="auto"/>
      </w:divBdr>
    </w:div>
    <w:div w:id="1980722387">
      <w:bodyDiv w:val="1"/>
      <w:marLeft w:val="0"/>
      <w:marRight w:val="0"/>
      <w:marTop w:val="0"/>
      <w:marBottom w:val="0"/>
      <w:divBdr>
        <w:top w:val="none" w:sz="0" w:space="0" w:color="auto"/>
        <w:left w:val="none" w:sz="0" w:space="0" w:color="auto"/>
        <w:bottom w:val="none" w:sz="0" w:space="0" w:color="auto"/>
        <w:right w:val="none" w:sz="0" w:space="0" w:color="auto"/>
      </w:divBdr>
    </w:div>
    <w:div w:id="2027905507">
      <w:bodyDiv w:val="1"/>
      <w:marLeft w:val="0"/>
      <w:marRight w:val="0"/>
      <w:marTop w:val="0"/>
      <w:marBottom w:val="0"/>
      <w:divBdr>
        <w:top w:val="none" w:sz="0" w:space="0" w:color="auto"/>
        <w:left w:val="none" w:sz="0" w:space="0" w:color="auto"/>
        <w:bottom w:val="none" w:sz="0" w:space="0" w:color="auto"/>
        <w:right w:val="none" w:sz="0" w:space="0" w:color="auto"/>
      </w:divBdr>
    </w:div>
    <w:div w:id="2094694028">
      <w:bodyDiv w:val="1"/>
      <w:marLeft w:val="0"/>
      <w:marRight w:val="0"/>
      <w:marTop w:val="0"/>
      <w:marBottom w:val="0"/>
      <w:divBdr>
        <w:top w:val="none" w:sz="0" w:space="0" w:color="auto"/>
        <w:left w:val="none" w:sz="0" w:space="0" w:color="auto"/>
        <w:bottom w:val="none" w:sz="0" w:space="0" w:color="auto"/>
        <w:right w:val="none" w:sz="0" w:space="0" w:color="auto"/>
      </w:divBdr>
    </w:div>
    <w:div w:id="213267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1163</TotalTime>
  <Pages>15</Pages>
  <Words>6095</Words>
  <Characters>34744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Universtiy of Alaska Anchorage</Company>
  <LinksUpToDate>false</LinksUpToDate>
  <CharactersWithSpaces>40758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 Thorngren</dc:creator>
  <cp:lastModifiedBy>Kelly R Thorngren</cp:lastModifiedBy>
  <cp:revision>345</cp:revision>
  <cp:lastPrinted>2014-08-05T22:58:00Z</cp:lastPrinted>
  <dcterms:created xsi:type="dcterms:W3CDTF">2014-07-21T21:52:00Z</dcterms:created>
  <dcterms:modified xsi:type="dcterms:W3CDTF">2014-08-06T20:55:00Z</dcterms:modified>
</cp:coreProperties>
</file>