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B3F" w:rsidRDefault="00652B3F" w:rsidP="00652B3F">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Patricia W Linton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February 25, 2015 8:20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Francisco Miranda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Honors Designation Memo</w:t>
      </w:r>
    </w:p>
    <w:p w:rsidR="00652B3F" w:rsidRDefault="00652B3F" w:rsidP="00652B3F"/>
    <w:p w:rsidR="00652B3F" w:rsidRDefault="00652B3F" w:rsidP="00652B3F">
      <w:pPr>
        <w:rPr>
          <w:rFonts w:ascii="Calibri" w:hAnsi="Calibri"/>
          <w:color w:val="000081"/>
          <w:sz w:val="22"/>
          <w:szCs w:val="22"/>
        </w:rPr>
      </w:pPr>
      <w:r>
        <w:rPr>
          <w:rFonts w:ascii="Calibri" w:hAnsi="Calibri"/>
          <w:color w:val="000081"/>
          <w:sz w:val="22"/>
          <w:szCs w:val="22"/>
        </w:rPr>
        <w:t>Francisco,</w:t>
      </w:r>
    </w:p>
    <w:p w:rsidR="00652B3F" w:rsidRDefault="00652B3F" w:rsidP="00652B3F">
      <w:pPr>
        <w:rPr>
          <w:rFonts w:ascii="Calibri" w:hAnsi="Calibri"/>
          <w:color w:val="000081"/>
          <w:sz w:val="22"/>
          <w:szCs w:val="22"/>
        </w:rPr>
      </w:pPr>
    </w:p>
    <w:p w:rsidR="00652B3F" w:rsidRDefault="00652B3F" w:rsidP="00652B3F">
      <w:pPr>
        <w:rPr>
          <w:rFonts w:ascii="Calibri" w:hAnsi="Calibri"/>
          <w:color w:val="000081"/>
          <w:sz w:val="22"/>
          <w:szCs w:val="22"/>
        </w:rPr>
      </w:pPr>
      <w:r>
        <w:rPr>
          <w:rFonts w:ascii="Calibri" w:hAnsi="Calibri"/>
          <w:color w:val="000081"/>
          <w:sz w:val="22"/>
          <w:szCs w:val="22"/>
        </w:rPr>
        <w:t xml:space="preserve">Since the Policy Proposal from Honors (attached) differs from the existing understanding between CAS and Honors, I’m writing to let you know the extent of CAS commitment at this time. </w:t>
      </w:r>
    </w:p>
    <w:p w:rsidR="00652B3F" w:rsidRDefault="00652B3F" w:rsidP="00652B3F">
      <w:pPr>
        <w:rPr>
          <w:rFonts w:ascii="Calibri" w:hAnsi="Calibri"/>
          <w:color w:val="000081"/>
          <w:sz w:val="22"/>
          <w:szCs w:val="22"/>
        </w:rPr>
      </w:pPr>
    </w:p>
    <w:p w:rsidR="00652B3F" w:rsidRDefault="00652B3F" w:rsidP="00652B3F">
      <w:pPr>
        <w:rPr>
          <w:rFonts w:ascii="Calibri" w:hAnsi="Calibri"/>
          <w:color w:val="000081"/>
          <w:sz w:val="22"/>
          <w:szCs w:val="22"/>
        </w:rPr>
      </w:pPr>
      <w:r>
        <w:rPr>
          <w:rFonts w:ascii="Calibri" w:hAnsi="Calibri"/>
          <w:color w:val="000081"/>
          <w:sz w:val="22"/>
          <w:szCs w:val="22"/>
        </w:rPr>
        <w:t xml:space="preserve">1) The Policy Proposal and Program plan for Honors do not indicate that Honors is interested in or progressing toward enhanced curriculum for Honors-designated courses. Rather, it states that Honors-designated sections will not differ and that the designation is only an enrollment management tool for the purpose of cohort building. This is not a </w:t>
      </w:r>
      <w:r>
        <w:rPr>
          <w:rFonts w:ascii="Calibri" w:hAnsi="Calibri"/>
          <w:color w:val="000081"/>
          <w:sz w:val="22"/>
          <w:szCs w:val="22"/>
          <w:u w:val="single"/>
        </w:rPr>
        <w:t>policy</w:t>
      </w:r>
      <w:r>
        <w:rPr>
          <w:rFonts w:ascii="Calibri" w:hAnsi="Calibri"/>
          <w:color w:val="000081"/>
          <w:sz w:val="22"/>
          <w:szCs w:val="22"/>
        </w:rPr>
        <w:t xml:space="preserve"> with which CAS concurs; it is an interim measure to which CAS agreed for one year, with the understanding that enhanced Honors curriculum would then be formally proposed through the regular faculty governance process. The policy proposed by the Honors College has not been reviewed or approved by the CAS departments involved.</w:t>
      </w:r>
    </w:p>
    <w:p w:rsidR="00652B3F" w:rsidRDefault="00652B3F" w:rsidP="00652B3F">
      <w:pPr>
        <w:rPr>
          <w:rFonts w:ascii="Calibri" w:hAnsi="Calibri"/>
          <w:color w:val="000081"/>
          <w:sz w:val="22"/>
          <w:szCs w:val="22"/>
        </w:rPr>
      </w:pPr>
    </w:p>
    <w:p w:rsidR="00652B3F" w:rsidRDefault="00652B3F" w:rsidP="00652B3F">
      <w:pPr>
        <w:rPr>
          <w:rFonts w:ascii="Calibri" w:hAnsi="Calibri"/>
          <w:color w:val="000081"/>
          <w:sz w:val="22"/>
          <w:szCs w:val="22"/>
        </w:rPr>
      </w:pPr>
      <w:r>
        <w:rPr>
          <w:rFonts w:ascii="Calibri" w:hAnsi="Calibri"/>
          <w:color w:val="000081"/>
          <w:sz w:val="22"/>
          <w:szCs w:val="22"/>
        </w:rPr>
        <w:t>2) After interim measures implemented for 2015-16, CAS has declined to participate in any formal (</w:t>
      </w:r>
      <w:proofErr w:type="spellStart"/>
      <w:r>
        <w:rPr>
          <w:rFonts w:ascii="Calibri" w:hAnsi="Calibri"/>
          <w:color w:val="000081"/>
          <w:sz w:val="22"/>
          <w:szCs w:val="22"/>
        </w:rPr>
        <w:t>transcripted</w:t>
      </w:r>
      <w:proofErr w:type="spellEnd"/>
      <w:r>
        <w:rPr>
          <w:rFonts w:ascii="Calibri" w:hAnsi="Calibri"/>
          <w:color w:val="000081"/>
          <w:sz w:val="22"/>
          <w:szCs w:val="22"/>
        </w:rPr>
        <w:t>) designation of Honors sections that represent nothing more than an enrollment management tool.</w:t>
      </w:r>
    </w:p>
    <w:p w:rsidR="00652B3F" w:rsidRDefault="00652B3F" w:rsidP="00652B3F">
      <w:pPr>
        <w:rPr>
          <w:rFonts w:ascii="Calibri" w:hAnsi="Calibri"/>
          <w:color w:val="000081"/>
          <w:sz w:val="22"/>
          <w:szCs w:val="22"/>
        </w:rPr>
      </w:pPr>
    </w:p>
    <w:p w:rsidR="00652B3F" w:rsidRDefault="00652B3F" w:rsidP="00652B3F">
      <w:pPr>
        <w:rPr>
          <w:rFonts w:ascii="Calibri" w:hAnsi="Calibri"/>
          <w:color w:val="000081"/>
          <w:sz w:val="22"/>
          <w:szCs w:val="22"/>
        </w:rPr>
      </w:pPr>
      <w:r>
        <w:rPr>
          <w:rFonts w:ascii="Calibri" w:hAnsi="Calibri"/>
          <w:color w:val="000081"/>
          <w:sz w:val="22"/>
          <w:szCs w:val="22"/>
        </w:rPr>
        <w:t>3) If the proposed policy for Honors-designated sections is adopted, CAS has made no commitment to continue Honors-designated sections of English Composition and Communication GER courses.</w:t>
      </w:r>
    </w:p>
    <w:p w:rsidR="00652B3F" w:rsidRDefault="00652B3F" w:rsidP="00652B3F">
      <w:pPr>
        <w:rPr>
          <w:rFonts w:ascii="Calibri" w:hAnsi="Calibri"/>
          <w:color w:val="000081"/>
          <w:sz w:val="22"/>
          <w:szCs w:val="22"/>
        </w:rPr>
      </w:pPr>
    </w:p>
    <w:p w:rsidR="00652B3F" w:rsidRDefault="00652B3F" w:rsidP="00652B3F">
      <w:pPr>
        <w:rPr>
          <w:rFonts w:ascii="Calibri" w:hAnsi="Calibri"/>
          <w:color w:val="000081"/>
          <w:sz w:val="22"/>
          <w:szCs w:val="22"/>
        </w:rPr>
      </w:pPr>
      <w:r>
        <w:rPr>
          <w:rFonts w:ascii="Calibri" w:hAnsi="Calibri"/>
          <w:color w:val="000081"/>
          <w:sz w:val="22"/>
          <w:szCs w:val="22"/>
        </w:rPr>
        <w:t>Honors policy and the Honors program plan are designed by the Honors College. However, the current policy statement submitted on behalf of Honors does not represent the policy or commitment of CAS.</w:t>
      </w:r>
    </w:p>
    <w:p w:rsidR="00652B3F" w:rsidRDefault="00652B3F" w:rsidP="00652B3F">
      <w:pPr>
        <w:rPr>
          <w:rFonts w:ascii="Calibri" w:hAnsi="Calibri"/>
          <w:color w:val="000081"/>
          <w:sz w:val="22"/>
          <w:szCs w:val="22"/>
        </w:rPr>
      </w:pPr>
    </w:p>
    <w:p w:rsidR="00652B3F" w:rsidRDefault="00652B3F" w:rsidP="00652B3F">
      <w:pPr>
        <w:rPr>
          <w:rFonts w:ascii="Calibri" w:hAnsi="Calibri"/>
          <w:color w:val="000081"/>
          <w:sz w:val="22"/>
          <w:szCs w:val="22"/>
        </w:rPr>
      </w:pPr>
      <w:r>
        <w:rPr>
          <w:rFonts w:ascii="Calibri" w:hAnsi="Calibri"/>
          <w:color w:val="000081"/>
          <w:sz w:val="22"/>
          <w:szCs w:val="22"/>
        </w:rPr>
        <w:t>Best regards,</w:t>
      </w:r>
    </w:p>
    <w:p w:rsidR="00652B3F" w:rsidRDefault="00652B3F" w:rsidP="00652B3F">
      <w:pPr>
        <w:rPr>
          <w:rFonts w:ascii="Calibri" w:hAnsi="Calibri"/>
          <w:color w:val="000081"/>
          <w:sz w:val="22"/>
          <w:szCs w:val="22"/>
        </w:rPr>
      </w:pPr>
      <w:r>
        <w:rPr>
          <w:rFonts w:ascii="Calibri" w:hAnsi="Calibri"/>
          <w:color w:val="000081"/>
          <w:sz w:val="22"/>
          <w:szCs w:val="22"/>
        </w:rPr>
        <w:t>Patty Linton</w:t>
      </w:r>
    </w:p>
    <w:p w:rsidR="00652B3F" w:rsidRDefault="00652B3F" w:rsidP="00652B3F">
      <w:pPr>
        <w:rPr>
          <w:rFonts w:ascii="Calibri" w:hAnsi="Calibri"/>
          <w:color w:val="000081"/>
          <w:sz w:val="22"/>
          <w:szCs w:val="22"/>
        </w:rPr>
      </w:pPr>
    </w:p>
    <w:p w:rsidR="00652B3F" w:rsidRDefault="00652B3F" w:rsidP="00652B3F">
      <w:pPr>
        <w:rPr>
          <w:rFonts w:ascii="Century Schoolbook" w:hAnsi="Century Schoolbook"/>
          <w:color w:val="000081"/>
          <w:sz w:val="16"/>
          <w:szCs w:val="16"/>
        </w:rPr>
      </w:pPr>
      <w:r>
        <w:rPr>
          <w:rFonts w:ascii="Century Schoolbook" w:hAnsi="Century Schoolbook"/>
          <w:color w:val="000081"/>
          <w:sz w:val="16"/>
          <w:szCs w:val="16"/>
        </w:rPr>
        <w:t>___________________</w:t>
      </w:r>
    </w:p>
    <w:p w:rsidR="00652B3F" w:rsidRDefault="00652B3F" w:rsidP="00652B3F">
      <w:pPr>
        <w:rPr>
          <w:rFonts w:ascii="Calibri" w:hAnsi="Calibri"/>
          <w:color w:val="000081"/>
          <w:sz w:val="16"/>
          <w:szCs w:val="16"/>
        </w:rPr>
      </w:pPr>
    </w:p>
    <w:p w:rsidR="00652B3F" w:rsidRDefault="00652B3F" w:rsidP="00652B3F">
      <w:pPr>
        <w:rPr>
          <w:color w:val="000081"/>
          <w:sz w:val="18"/>
          <w:szCs w:val="18"/>
        </w:rPr>
      </w:pPr>
      <w:r>
        <w:rPr>
          <w:color w:val="000081"/>
          <w:sz w:val="18"/>
          <w:szCs w:val="18"/>
        </w:rPr>
        <w:t>Patricia W. Linton, Ph.D.</w:t>
      </w:r>
    </w:p>
    <w:p w:rsidR="00652B3F" w:rsidRDefault="00652B3F" w:rsidP="00652B3F">
      <w:pPr>
        <w:rPr>
          <w:color w:val="000081"/>
          <w:sz w:val="18"/>
          <w:szCs w:val="18"/>
        </w:rPr>
      </w:pPr>
      <w:r>
        <w:rPr>
          <w:color w:val="000081"/>
          <w:sz w:val="18"/>
          <w:szCs w:val="18"/>
        </w:rPr>
        <w:t>Senior Associate Dean, College of Arts &amp; Sciences</w:t>
      </w:r>
    </w:p>
    <w:p w:rsidR="00652B3F" w:rsidRDefault="00652B3F" w:rsidP="00652B3F">
      <w:pPr>
        <w:rPr>
          <w:color w:val="000081"/>
          <w:sz w:val="18"/>
          <w:szCs w:val="18"/>
        </w:rPr>
      </w:pPr>
      <w:r>
        <w:rPr>
          <w:color w:val="000081"/>
          <w:sz w:val="18"/>
          <w:szCs w:val="18"/>
        </w:rPr>
        <w:t>Professor of English</w:t>
      </w:r>
    </w:p>
    <w:p w:rsidR="00652B3F" w:rsidRDefault="00652B3F" w:rsidP="00652B3F">
      <w:pPr>
        <w:rPr>
          <w:color w:val="000081"/>
          <w:sz w:val="18"/>
          <w:szCs w:val="18"/>
        </w:rPr>
      </w:pPr>
      <w:r>
        <w:rPr>
          <w:color w:val="000081"/>
          <w:sz w:val="18"/>
          <w:szCs w:val="18"/>
        </w:rPr>
        <w:t>University of Alaska Anchorage</w:t>
      </w:r>
    </w:p>
    <w:p w:rsidR="00652B3F" w:rsidRDefault="00652B3F" w:rsidP="00652B3F">
      <w:pPr>
        <w:rPr>
          <w:color w:val="000081"/>
          <w:sz w:val="18"/>
          <w:szCs w:val="18"/>
        </w:rPr>
      </w:pPr>
      <w:r>
        <w:rPr>
          <w:color w:val="000081"/>
          <w:sz w:val="18"/>
          <w:szCs w:val="18"/>
        </w:rPr>
        <w:t xml:space="preserve">Office: 907.786.1751; E-mail: </w:t>
      </w:r>
      <w:hyperlink r:id="rId5" w:history="1">
        <w:r>
          <w:rPr>
            <w:rStyle w:val="Hyperlink"/>
            <w:sz w:val="18"/>
            <w:szCs w:val="18"/>
          </w:rPr>
          <w:t>pwlinton@uaa.alaska.edu</w:t>
        </w:r>
      </w:hyperlink>
    </w:p>
    <w:p w:rsidR="00652B3F" w:rsidRDefault="00652B3F" w:rsidP="00652B3F">
      <w:pPr>
        <w:rPr>
          <w:color w:val="000081"/>
          <w:sz w:val="16"/>
          <w:szCs w:val="16"/>
        </w:rPr>
      </w:pPr>
    </w:p>
    <w:p w:rsidR="00652B3F" w:rsidRDefault="00652B3F" w:rsidP="00652B3F">
      <w:pPr>
        <w:rPr>
          <w:color w:val="000080"/>
          <w:sz w:val="16"/>
          <w:szCs w:val="16"/>
        </w:rPr>
      </w:pPr>
      <w:r>
        <w:rPr>
          <w:color w:val="000080"/>
          <w:sz w:val="16"/>
          <w:szCs w:val="16"/>
        </w:rPr>
        <w:t>This message, including attachments, is intended solely for the use of the named recipient(s) and may contain confidential or privileged information.  Please do not review, use, or distribute without the permission of the author. If you are not the intended recipient, please contact the sender by reply e-mail and destroy all copies of the original message.</w:t>
      </w:r>
    </w:p>
    <w:p w:rsidR="0033059C" w:rsidRDefault="0033059C">
      <w:bookmarkStart w:id="0" w:name="_GoBack"/>
      <w:bookmarkEnd w:id="0"/>
    </w:p>
    <w:sectPr w:rsidR="00330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B3F"/>
    <w:rsid w:val="0033059C"/>
    <w:rsid w:val="0065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B3F"/>
    <w:pPr>
      <w:spacing w:after="0" w:line="240" w:lineRule="auto"/>
    </w:pPr>
    <w:rPr>
      <w:rFonts w:ascii="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2B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B3F"/>
    <w:pPr>
      <w:spacing w:after="0" w:line="240" w:lineRule="auto"/>
    </w:pPr>
    <w:rPr>
      <w:rFonts w:ascii="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2B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wlinton@uaa.alask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Harley N Hedlund</dc:creator>
  <cp:lastModifiedBy>Harley N Hedlund</cp:lastModifiedBy>
  <cp:revision>1</cp:revision>
  <dcterms:created xsi:type="dcterms:W3CDTF">2015-02-27T20:16:00Z</dcterms:created>
  <dcterms:modified xsi:type="dcterms:W3CDTF">2015-02-27T20:16:00Z</dcterms:modified>
</cp:coreProperties>
</file>