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E3" w:rsidRPr="00213E89" w:rsidRDefault="009729E3" w:rsidP="00BE77BA">
      <w:pPr>
        <w:shd w:val="clear" w:color="auto" w:fill="D6E3BC" w:themeFill="accent3" w:themeFillTint="66"/>
        <w:ind w:right="720"/>
        <w:rPr>
          <w:rFonts w:asciiTheme="majorHAnsi" w:hAnsiTheme="majorHAnsi" w:cs="Times New Roman"/>
          <w:b/>
          <w:sz w:val="28"/>
        </w:rPr>
      </w:pPr>
      <w:r w:rsidRPr="00213E89">
        <w:rPr>
          <w:rFonts w:asciiTheme="majorHAnsi" w:hAnsiTheme="majorHAnsi" w:cs="Times New Roman"/>
          <w:b/>
          <w:sz w:val="28"/>
        </w:rPr>
        <w:t>Undergraduate Academic Affairs</w:t>
      </w:r>
    </w:p>
    <w:p w:rsidR="009C4EBE" w:rsidRPr="00213E89" w:rsidRDefault="009729E3" w:rsidP="00685E55">
      <w:pPr>
        <w:pStyle w:val="ListParagraph"/>
        <w:numPr>
          <w:ilvl w:val="0"/>
          <w:numId w:val="18"/>
        </w:numPr>
        <w:spacing w:after="160" w:line="259" w:lineRule="auto"/>
        <w:ind w:left="540" w:right="720"/>
        <w:rPr>
          <w:rFonts w:asciiTheme="majorHAnsi" w:hAnsiTheme="majorHAnsi" w:cs="Times New Roman"/>
        </w:rPr>
      </w:pPr>
      <w:r w:rsidRPr="00213E89">
        <w:rPr>
          <w:rFonts w:asciiTheme="majorHAnsi" w:hAnsiTheme="majorHAnsi" w:cs="Times New Roman"/>
        </w:rPr>
        <w:t xml:space="preserve">The Office of Undergraduate Academic Affairs (OUAA) </w:t>
      </w:r>
      <w:r w:rsidR="009C4EBE" w:rsidRPr="00213E89">
        <w:rPr>
          <w:rFonts w:asciiTheme="majorHAnsi" w:hAnsiTheme="majorHAnsi" w:cs="Times New Roman"/>
        </w:rPr>
        <w:t>website:</w:t>
      </w:r>
      <w:r w:rsidRPr="00213E89">
        <w:rPr>
          <w:rFonts w:asciiTheme="majorHAnsi" w:hAnsiTheme="majorHAnsi" w:cs="Times New Roman"/>
        </w:rPr>
        <w:t xml:space="preserve"> </w:t>
      </w:r>
    </w:p>
    <w:p w:rsidR="009729E3" w:rsidRPr="00213E89" w:rsidRDefault="00AF2218" w:rsidP="00685E55">
      <w:pPr>
        <w:pStyle w:val="ListParagraph"/>
        <w:spacing w:after="160" w:line="259" w:lineRule="auto"/>
        <w:ind w:left="540" w:right="720"/>
        <w:rPr>
          <w:rFonts w:asciiTheme="majorHAnsi" w:hAnsiTheme="majorHAnsi" w:cs="Times New Roman"/>
        </w:rPr>
      </w:pPr>
      <w:hyperlink r:id="rId9" w:history="1">
        <w:r w:rsidR="009729E3" w:rsidRPr="00213E89">
          <w:rPr>
            <w:rStyle w:val="Hyperlink"/>
            <w:rFonts w:asciiTheme="majorHAnsi" w:hAnsiTheme="majorHAnsi" w:cs="Times New Roman"/>
          </w:rPr>
          <w:t>http://www.uaa.alaska.edu/undergraduate-academic-affairs</w:t>
        </w:r>
      </w:hyperlink>
    </w:p>
    <w:p w:rsidR="009729E3" w:rsidRPr="00213E89" w:rsidRDefault="009729E3" w:rsidP="00BE77BA">
      <w:pPr>
        <w:shd w:val="clear" w:color="auto" w:fill="D6E3BC" w:themeFill="accent3" w:themeFillTint="66"/>
        <w:tabs>
          <w:tab w:val="center" w:pos="4680"/>
        </w:tabs>
        <w:ind w:right="720"/>
        <w:rPr>
          <w:rFonts w:asciiTheme="majorHAnsi" w:hAnsiTheme="majorHAnsi" w:cs="Times New Roman"/>
          <w:b/>
          <w:sz w:val="28"/>
        </w:rPr>
      </w:pPr>
      <w:r w:rsidRPr="00213E89">
        <w:rPr>
          <w:rFonts w:asciiTheme="majorHAnsi" w:hAnsiTheme="majorHAnsi" w:cs="Times New Roman"/>
          <w:b/>
          <w:sz w:val="28"/>
        </w:rPr>
        <w:t>Academic Policy</w:t>
      </w:r>
      <w:r w:rsidR="00BE77BA" w:rsidRPr="00213E89">
        <w:rPr>
          <w:rFonts w:asciiTheme="majorHAnsi" w:hAnsiTheme="majorHAnsi" w:cs="Times New Roman"/>
          <w:b/>
          <w:sz w:val="28"/>
        </w:rPr>
        <w:tab/>
      </w:r>
    </w:p>
    <w:p w:rsidR="00685E55" w:rsidRDefault="00685E55" w:rsidP="00685E55">
      <w:pPr>
        <w:pStyle w:val="ListParagraph"/>
        <w:numPr>
          <w:ilvl w:val="0"/>
          <w:numId w:val="17"/>
        </w:numPr>
        <w:spacing w:after="160" w:line="259" w:lineRule="auto"/>
        <w:ind w:left="540" w:right="720"/>
        <w:rPr>
          <w:rFonts w:ascii="Cambria" w:hAnsi="Cambria" w:cs="Times New Roman"/>
        </w:rPr>
      </w:pPr>
      <w:r w:rsidRPr="005E4120">
        <w:rPr>
          <w:rFonts w:ascii="Cambria" w:hAnsi="Cambria" w:cs="Times New Roman"/>
        </w:rPr>
        <w:t>The Academic Affairs website now</w:t>
      </w:r>
      <w:r>
        <w:rPr>
          <w:rFonts w:ascii="Cambria" w:hAnsi="Cambria" w:cs="Times New Roman"/>
        </w:rPr>
        <w:t xml:space="preserve"> includes a section for academic affairs related policies and procedures:  </w:t>
      </w:r>
      <w:hyperlink r:id="rId10" w:history="1">
        <w:r w:rsidRPr="00B049E8">
          <w:rPr>
            <w:rStyle w:val="Hyperlink"/>
            <w:rFonts w:ascii="Cambria" w:hAnsi="Cambria" w:cs="Times New Roman"/>
          </w:rPr>
          <w:t>http://www.uaa.alaska.edu/academicaffairs/policy-procedures.cfm</w:t>
        </w:r>
      </w:hyperlink>
      <w:r w:rsidRPr="00B049E8">
        <w:rPr>
          <w:rFonts w:ascii="Cambria" w:hAnsi="Cambria" w:cs="Times New Roman"/>
        </w:rPr>
        <w:t xml:space="preserve"> </w:t>
      </w:r>
    </w:p>
    <w:p w:rsidR="00685E55" w:rsidRDefault="00685E55" w:rsidP="00685E55">
      <w:pPr>
        <w:pStyle w:val="ListParagraph"/>
        <w:ind w:left="540" w:right="720"/>
        <w:rPr>
          <w:rFonts w:ascii="Cambria" w:hAnsi="Cambria" w:cs="Times New Roman"/>
        </w:rPr>
      </w:pPr>
    </w:p>
    <w:p w:rsidR="00685E55" w:rsidRPr="00723CB6" w:rsidRDefault="00685E55" w:rsidP="00685E55">
      <w:pPr>
        <w:pStyle w:val="ListParagraph"/>
        <w:numPr>
          <w:ilvl w:val="0"/>
          <w:numId w:val="17"/>
        </w:numPr>
        <w:ind w:left="540" w:right="720"/>
        <w:rPr>
          <w:rFonts w:ascii="Cambria" w:hAnsi="Cambria" w:cs="Times New Roman"/>
        </w:rPr>
      </w:pPr>
      <w:r>
        <w:rPr>
          <w:rFonts w:ascii="Cambria" w:hAnsi="Cambria" w:cs="Times New Roman"/>
          <w:b/>
        </w:rPr>
        <w:t>Academic Dispute Resolution Process</w:t>
      </w:r>
      <w:r>
        <w:rPr>
          <w:rFonts w:ascii="Cambria" w:hAnsi="Cambria" w:cs="Times New Roman"/>
        </w:rPr>
        <w:t xml:space="preserve">:  In AY15-AY16, the Academic Dispute Resolution Process Review Task Force will investigate current UAA academic dispute resolution policies and practices at UAA, research national best practices, and make recommendations to the Provost for next steps. The Task Force is chaired by Dennis Drinka, Associate Professor of Information Systems and Decision Sciences, and Terry Kelly, Assistant Professor of Philosophy, and consists of representatives from academic and student affairs. Visit the Task Force’s website to stay informed: </w:t>
      </w:r>
      <w:hyperlink r:id="rId11" w:history="1">
        <w:r w:rsidR="00AF2218" w:rsidRPr="00A6189C">
          <w:rPr>
            <w:rStyle w:val="Hyperlink"/>
            <w:rFonts w:ascii="Cambria" w:hAnsi="Cambria" w:cs="Times New Roman"/>
          </w:rPr>
          <w:t>http://www.uaa.alaska.edu/academicaffairs/academic-dispute-resolution-process-review-task-force.cfm</w:t>
        </w:r>
      </w:hyperlink>
      <w:r w:rsidR="00AF2218">
        <w:rPr>
          <w:rFonts w:ascii="Cambria" w:hAnsi="Cambria" w:cs="Times New Roman"/>
        </w:rPr>
        <w:t xml:space="preserve"> </w:t>
      </w:r>
      <w:bookmarkStart w:id="0" w:name="_GoBack"/>
      <w:bookmarkEnd w:id="0"/>
    </w:p>
    <w:p w:rsidR="00685E55" w:rsidRPr="00A4321D" w:rsidRDefault="00685E55" w:rsidP="00685E55">
      <w:pPr>
        <w:pStyle w:val="ListParagraph"/>
        <w:ind w:left="540"/>
        <w:rPr>
          <w:rFonts w:ascii="Cambria" w:hAnsi="Cambria" w:cs="Times New Roman"/>
        </w:rPr>
      </w:pPr>
    </w:p>
    <w:p w:rsidR="00685E55" w:rsidRPr="007E2A25" w:rsidRDefault="00685E55" w:rsidP="00685E55">
      <w:pPr>
        <w:pStyle w:val="ListParagraph"/>
        <w:numPr>
          <w:ilvl w:val="0"/>
          <w:numId w:val="17"/>
        </w:numPr>
        <w:ind w:left="540" w:right="720"/>
        <w:rPr>
          <w:rFonts w:ascii="Cambria" w:hAnsi="Cambria" w:cs="Times New Roman"/>
          <w:b/>
        </w:rPr>
      </w:pPr>
      <w:r w:rsidRPr="007E2A25">
        <w:rPr>
          <w:rFonts w:ascii="Cambria" w:hAnsi="Cambria" w:cs="Times New Roman"/>
          <w:b/>
        </w:rPr>
        <w:t xml:space="preserve">NWCCU Student Complaint Policy: </w:t>
      </w:r>
      <w:r w:rsidR="00AF2218">
        <w:rPr>
          <w:rFonts w:ascii="Cambria" w:hAnsi="Cambria" w:cs="Times New Roman"/>
        </w:rPr>
        <w:t>To address the</w:t>
      </w:r>
      <w:r>
        <w:rPr>
          <w:rFonts w:ascii="Cambria" w:hAnsi="Cambria" w:cs="Times New Roman"/>
        </w:rPr>
        <w:t xml:space="preserve"> new NWCCU Student Complaint Policy, as well as other federal regulation related to student complaints</w:t>
      </w:r>
      <w:r w:rsidR="00AF2218">
        <w:rPr>
          <w:rFonts w:ascii="Cambria" w:hAnsi="Cambria" w:cs="Times New Roman"/>
        </w:rPr>
        <w:t xml:space="preserve">, UAA is exploring </w:t>
      </w:r>
      <w:r>
        <w:rPr>
          <w:rFonts w:ascii="Cambria" w:hAnsi="Cambria" w:cs="Times New Roman"/>
        </w:rPr>
        <w:t xml:space="preserve">a shared general framework </w:t>
      </w:r>
      <w:r w:rsidR="00AF2218">
        <w:rPr>
          <w:rFonts w:ascii="Cambria" w:hAnsi="Cambria" w:cs="Times New Roman"/>
        </w:rPr>
        <w:t>for</w:t>
      </w:r>
      <w:r>
        <w:rPr>
          <w:rFonts w:ascii="Cambria" w:hAnsi="Cambria" w:cs="Times New Roman"/>
        </w:rPr>
        <w:t xml:space="preserve"> tracking </w:t>
      </w:r>
      <w:r w:rsidR="00AF2218">
        <w:rPr>
          <w:rFonts w:ascii="Cambria" w:hAnsi="Cambria" w:cs="Times New Roman"/>
        </w:rPr>
        <w:t>and compiling</w:t>
      </w:r>
      <w:r>
        <w:rPr>
          <w:rFonts w:ascii="Cambria" w:hAnsi="Cambria" w:cs="Times New Roman"/>
        </w:rPr>
        <w:t xml:space="preserve"> student complaint</w:t>
      </w:r>
      <w:r w:rsidR="00AF2218">
        <w:rPr>
          <w:rFonts w:ascii="Cambria" w:hAnsi="Cambria" w:cs="Times New Roman"/>
        </w:rPr>
        <w:t>s</w:t>
      </w:r>
      <w:r>
        <w:rPr>
          <w:rFonts w:ascii="Cambria" w:hAnsi="Cambria" w:cs="Times New Roman"/>
        </w:rPr>
        <w:t xml:space="preserve">. The APAC will continue to have conversations about next steps in the coming months. Visit the APAC website to stay informed: </w:t>
      </w:r>
      <w:hyperlink r:id="rId12" w:history="1">
        <w:r w:rsidRPr="008F7C47">
          <w:rPr>
            <w:rStyle w:val="Hyperlink"/>
            <w:rFonts w:ascii="Cambria" w:hAnsi="Cambria" w:cs="Times New Roman"/>
          </w:rPr>
          <w:t>http://www.uaa.alaska.edu/undergraduate-academic-affairs/academic-policy/apac/index.cfm</w:t>
        </w:r>
      </w:hyperlink>
      <w:r>
        <w:rPr>
          <w:rFonts w:ascii="Cambria" w:hAnsi="Cambria" w:cs="Times New Roman"/>
        </w:rPr>
        <w:t xml:space="preserve"> </w:t>
      </w:r>
    </w:p>
    <w:p w:rsidR="009729E3" w:rsidRPr="00213E89" w:rsidRDefault="009729E3" w:rsidP="00BE77BA">
      <w:pPr>
        <w:shd w:val="clear" w:color="auto" w:fill="D6E3BC" w:themeFill="accent3" w:themeFillTint="66"/>
        <w:ind w:right="720"/>
        <w:rPr>
          <w:rFonts w:asciiTheme="majorHAnsi" w:hAnsiTheme="majorHAnsi" w:cs="Times New Roman"/>
          <w:b/>
          <w:sz w:val="28"/>
        </w:rPr>
      </w:pPr>
      <w:r w:rsidRPr="00213E89">
        <w:rPr>
          <w:rFonts w:asciiTheme="majorHAnsi" w:hAnsiTheme="majorHAnsi" w:cs="Times New Roman"/>
          <w:b/>
          <w:sz w:val="28"/>
        </w:rPr>
        <w:t>Academic Assessment</w:t>
      </w:r>
    </w:p>
    <w:p w:rsidR="008D5FFB" w:rsidRPr="00213E89" w:rsidRDefault="008D5FFB" w:rsidP="00685E55">
      <w:pPr>
        <w:pStyle w:val="ListParagraph"/>
        <w:numPr>
          <w:ilvl w:val="0"/>
          <w:numId w:val="19"/>
        </w:numPr>
        <w:spacing w:after="160" w:line="259" w:lineRule="auto"/>
        <w:ind w:left="540" w:right="720"/>
        <w:rPr>
          <w:rFonts w:asciiTheme="majorHAnsi" w:hAnsiTheme="majorHAnsi" w:cs="Times New Roman"/>
        </w:rPr>
      </w:pPr>
      <w:r w:rsidRPr="00213E89">
        <w:rPr>
          <w:rFonts w:asciiTheme="majorHAnsi" w:hAnsiTheme="majorHAnsi" w:cs="Times New Roman"/>
        </w:rPr>
        <w:t xml:space="preserve">The </w:t>
      </w:r>
      <w:r w:rsidRPr="00213E89">
        <w:rPr>
          <w:rFonts w:asciiTheme="majorHAnsi" w:hAnsiTheme="majorHAnsi" w:cs="Times New Roman"/>
          <w:b/>
        </w:rPr>
        <w:t>Academic Assessment Committee</w:t>
      </w:r>
      <w:r w:rsidRPr="00213E89">
        <w:rPr>
          <w:rFonts w:asciiTheme="majorHAnsi" w:hAnsiTheme="majorHAnsi" w:cs="Times New Roman"/>
        </w:rPr>
        <w:t xml:space="preserve">’s website: </w:t>
      </w:r>
      <w:hyperlink r:id="rId13" w:history="1">
        <w:r w:rsidRPr="00213E89">
          <w:rPr>
            <w:rStyle w:val="Hyperlink"/>
            <w:rFonts w:asciiTheme="majorHAnsi" w:hAnsiTheme="majorHAnsi" w:cs="Times New Roman"/>
          </w:rPr>
          <w:t>http://www.uaa.alaska.edu/governance/academic_assessment_committee/</w:t>
        </w:r>
      </w:hyperlink>
      <w:r w:rsidRPr="00213E89">
        <w:rPr>
          <w:rFonts w:asciiTheme="majorHAnsi" w:hAnsiTheme="majorHAnsi" w:cs="Times New Roman"/>
        </w:rPr>
        <w:t xml:space="preserve"> </w:t>
      </w:r>
      <w:r w:rsidRPr="00213E89">
        <w:rPr>
          <w:rFonts w:asciiTheme="majorHAnsi" w:hAnsiTheme="majorHAnsi" w:cs="Times New Roman"/>
        </w:rPr>
        <w:br/>
      </w:r>
    </w:p>
    <w:p w:rsidR="00B86738" w:rsidRPr="00B86738" w:rsidRDefault="008D5FFB" w:rsidP="00B86738">
      <w:pPr>
        <w:pStyle w:val="ListParagraph"/>
        <w:numPr>
          <w:ilvl w:val="0"/>
          <w:numId w:val="17"/>
        </w:numPr>
        <w:spacing w:after="160" w:line="259" w:lineRule="auto"/>
        <w:ind w:left="540" w:right="720"/>
        <w:rPr>
          <w:rFonts w:asciiTheme="majorHAnsi" w:hAnsiTheme="majorHAnsi" w:cs="Times New Roman"/>
        </w:rPr>
      </w:pPr>
      <w:r w:rsidRPr="00213E89">
        <w:rPr>
          <w:rFonts w:asciiTheme="majorHAnsi" w:hAnsiTheme="majorHAnsi" w:cs="Times New Roman"/>
        </w:rPr>
        <w:t>Decisions on assessment funding to the colleges and campuses were sent out on November 24</w:t>
      </w:r>
      <w:r w:rsidRPr="00213E89">
        <w:rPr>
          <w:rFonts w:asciiTheme="majorHAnsi" w:hAnsiTheme="majorHAnsi" w:cs="Times New Roman"/>
          <w:vertAlign w:val="superscript"/>
        </w:rPr>
        <w:t>th</w:t>
      </w:r>
      <w:r w:rsidRPr="00213E89">
        <w:rPr>
          <w:rFonts w:asciiTheme="majorHAnsi" w:hAnsiTheme="majorHAnsi" w:cs="Times New Roman"/>
        </w:rPr>
        <w:t>.</w:t>
      </w:r>
    </w:p>
    <w:p w:rsidR="009729E3" w:rsidRPr="00213E89" w:rsidRDefault="009729E3" w:rsidP="00BE77BA">
      <w:pPr>
        <w:shd w:val="clear" w:color="auto" w:fill="D6E3BC" w:themeFill="accent3" w:themeFillTint="66"/>
        <w:ind w:right="720"/>
        <w:rPr>
          <w:rFonts w:asciiTheme="majorHAnsi" w:hAnsiTheme="majorHAnsi" w:cs="Times New Roman"/>
          <w:b/>
          <w:sz w:val="28"/>
        </w:rPr>
      </w:pPr>
      <w:r w:rsidRPr="00213E89">
        <w:rPr>
          <w:rFonts w:asciiTheme="majorHAnsi" w:hAnsiTheme="majorHAnsi" w:cs="Times New Roman"/>
          <w:b/>
          <w:sz w:val="28"/>
        </w:rPr>
        <w:t>Program Approval Status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700"/>
        <w:gridCol w:w="720"/>
        <w:gridCol w:w="810"/>
        <w:gridCol w:w="1980"/>
        <w:gridCol w:w="1125"/>
        <w:gridCol w:w="1125"/>
      </w:tblGrid>
      <w:tr w:rsidR="0047432F" w:rsidRPr="00685E55" w:rsidTr="0047432F">
        <w:trPr>
          <w:cantSplit/>
          <w:trHeight w:val="20"/>
          <w:tblHeader/>
        </w:trPr>
        <w:tc>
          <w:tcPr>
            <w:tcW w:w="900" w:type="dxa"/>
            <w:shd w:val="clear" w:color="auto" w:fill="D9D9D9" w:themeFill="background1" w:themeFillShade="D9"/>
            <w:vAlign w:val="center"/>
            <w:hideMark/>
          </w:tcPr>
          <w:p w:rsidR="000748E9" w:rsidRPr="00685E55" w:rsidRDefault="000748E9" w:rsidP="005C56AB">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Unit</w:t>
            </w:r>
          </w:p>
        </w:tc>
        <w:tc>
          <w:tcPr>
            <w:tcW w:w="2700" w:type="dxa"/>
            <w:shd w:val="clear" w:color="auto" w:fill="D9D9D9" w:themeFill="background1" w:themeFillShade="D9"/>
            <w:vAlign w:val="center"/>
            <w:hideMark/>
          </w:tcPr>
          <w:p w:rsidR="000748E9" w:rsidRPr="00685E55" w:rsidRDefault="000748E9" w:rsidP="005C56AB">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Program</w:t>
            </w:r>
          </w:p>
        </w:tc>
        <w:tc>
          <w:tcPr>
            <w:tcW w:w="720" w:type="dxa"/>
            <w:shd w:val="clear" w:color="auto" w:fill="D9D9D9" w:themeFill="background1" w:themeFillShade="D9"/>
            <w:vAlign w:val="center"/>
            <w:hideMark/>
          </w:tcPr>
          <w:p w:rsidR="000748E9" w:rsidRPr="00685E55" w:rsidRDefault="000748E9" w:rsidP="005C56AB">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Level</w:t>
            </w:r>
          </w:p>
        </w:tc>
        <w:tc>
          <w:tcPr>
            <w:tcW w:w="810" w:type="dxa"/>
            <w:shd w:val="clear" w:color="auto" w:fill="D9D9D9" w:themeFill="background1" w:themeFillShade="D9"/>
            <w:vAlign w:val="center"/>
            <w:hideMark/>
          </w:tcPr>
          <w:p w:rsidR="000748E9" w:rsidRPr="00685E55" w:rsidRDefault="000748E9" w:rsidP="005C56AB">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Type</w:t>
            </w:r>
          </w:p>
        </w:tc>
        <w:tc>
          <w:tcPr>
            <w:tcW w:w="1980" w:type="dxa"/>
            <w:shd w:val="clear" w:color="auto" w:fill="D9D9D9" w:themeFill="background1" w:themeFillShade="D9"/>
            <w:vAlign w:val="center"/>
            <w:hideMark/>
          </w:tcPr>
          <w:p w:rsidR="000748E9" w:rsidRPr="00685E55" w:rsidRDefault="000748E9" w:rsidP="005C56AB">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Status</w:t>
            </w:r>
          </w:p>
        </w:tc>
        <w:tc>
          <w:tcPr>
            <w:tcW w:w="1125" w:type="dxa"/>
            <w:shd w:val="clear" w:color="auto" w:fill="D9D9D9" w:themeFill="background1" w:themeFillShade="D9"/>
            <w:vAlign w:val="center"/>
          </w:tcPr>
          <w:p w:rsidR="000748E9" w:rsidRPr="00685E55" w:rsidRDefault="000748E9" w:rsidP="005C56AB">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BOR Approval</w:t>
            </w:r>
          </w:p>
        </w:tc>
        <w:tc>
          <w:tcPr>
            <w:tcW w:w="1125" w:type="dxa"/>
            <w:shd w:val="clear" w:color="auto" w:fill="D9D9D9" w:themeFill="background1" w:themeFillShade="D9"/>
            <w:vAlign w:val="center"/>
          </w:tcPr>
          <w:p w:rsidR="000748E9" w:rsidRPr="00685E55" w:rsidRDefault="000748E9" w:rsidP="005C56AB">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NWCCU Approval</w:t>
            </w:r>
          </w:p>
        </w:tc>
      </w:tr>
      <w:tr w:rsidR="0047432F" w:rsidRPr="00685E55" w:rsidTr="0047432F">
        <w:trPr>
          <w:cantSplit/>
          <w:trHeight w:val="20"/>
        </w:trPr>
        <w:tc>
          <w:tcPr>
            <w:tcW w:w="90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COE</w:t>
            </w:r>
          </w:p>
        </w:tc>
        <w:tc>
          <w:tcPr>
            <w:tcW w:w="270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Speech/Language Pathology</w:t>
            </w:r>
          </w:p>
        </w:tc>
        <w:tc>
          <w:tcPr>
            <w:tcW w:w="72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PBC</w:t>
            </w:r>
          </w:p>
        </w:tc>
        <w:tc>
          <w:tcPr>
            <w:tcW w:w="81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New</w:t>
            </w:r>
          </w:p>
        </w:tc>
        <w:tc>
          <w:tcPr>
            <w:tcW w:w="198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Approved</w:t>
            </w:r>
          </w:p>
        </w:tc>
        <w:tc>
          <w:tcPr>
            <w:tcW w:w="1125" w:type="dxa"/>
            <w:vAlign w:val="center"/>
          </w:tcPr>
          <w:p w:rsidR="008D5FFB" w:rsidRPr="00685E55" w:rsidRDefault="008D5FFB" w:rsidP="00177E4E">
            <w:pPr>
              <w:spacing w:after="0" w:line="240" w:lineRule="auto"/>
              <w:jc w:val="center"/>
              <w:rPr>
                <w:rFonts w:asciiTheme="majorHAnsi" w:eastAsia="Times New Roman" w:hAnsiTheme="majorHAnsi" w:cs="Times New Roman"/>
                <w:color w:val="000000"/>
                <w:sz w:val="20"/>
                <w:szCs w:val="20"/>
              </w:rPr>
            </w:pPr>
            <w:r w:rsidRPr="00685E55">
              <w:rPr>
                <w:rFonts w:asciiTheme="majorHAnsi" w:eastAsia="Times New Roman" w:hAnsiTheme="majorHAnsi" w:cs="Times New Roman"/>
                <w:color w:val="000000"/>
                <w:sz w:val="20"/>
                <w:szCs w:val="20"/>
              </w:rPr>
              <w:t>9/19/14</w:t>
            </w:r>
          </w:p>
        </w:tc>
        <w:tc>
          <w:tcPr>
            <w:tcW w:w="1125" w:type="dxa"/>
            <w:vAlign w:val="center"/>
          </w:tcPr>
          <w:p w:rsidR="008D5FFB" w:rsidRPr="00685E55" w:rsidRDefault="008D5FFB" w:rsidP="00177E4E">
            <w:pPr>
              <w:spacing w:after="0" w:line="240" w:lineRule="auto"/>
              <w:jc w:val="center"/>
              <w:rPr>
                <w:rFonts w:asciiTheme="majorHAnsi" w:eastAsia="Times New Roman" w:hAnsiTheme="majorHAnsi" w:cs="Times New Roman"/>
                <w:color w:val="000000"/>
                <w:sz w:val="20"/>
                <w:szCs w:val="20"/>
              </w:rPr>
            </w:pPr>
            <w:r w:rsidRPr="00685E55">
              <w:rPr>
                <w:rFonts w:asciiTheme="majorHAnsi" w:eastAsia="Times New Roman" w:hAnsiTheme="majorHAnsi" w:cs="Times New Roman"/>
                <w:color w:val="000000"/>
                <w:sz w:val="20"/>
                <w:szCs w:val="20"/>
              </w:rPr>
              <w:t>10/30/14</w:t>
            </w:r>
          </w:p>
        </w:tc>
      </w:tr>
      <w:tr w:rsidR="0047432F" w:rsidRPr="00685E55" w:rsidTr="0047432F">
        <w:trPr>
          <w:cantSplit/>
          <w:trHeight w:val="20"/>
        </w:trPr>
        <w:tc>
          <w:tcPr>
            <w:tcW w:w="900" w:type="dxa"/>
            <w:shd w:val="clear" w:color="auto" w:fill="auto"/>
            <w:vAlign w:val="center"/>
          </w:tcPr>
          <w:p w:rsidR="00685E55" w:rsidRPr="00685E55" w:rsidRDefault="00685E55"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MSC</w:t>
            </w:r>
          </w:p>
        </w:tc>
        <w:tc>
          <w:tcPr>
            <w:tcW w:w="2700" w:type="dxa"/>
            <w:shd w:val="clear" w:color="auto" w:fill="auto"/>
            <w:vAlign w:val="center"/>
          </w:tcPr>
          <w:p w:rsidR="00685E55" w:rsidRPr="00685E55" w:rsidRDefault="00685E55"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Architectural &amp; Engineering Technology AAS, Drafting Certificates, and CAD OEC</w:t>
            </w:r>
          </w:p>
        </w:tc>
        <w:tc>
          <w:tcPr>
            <w:tcW w:w="720" w:type="dxa"/>
            <w:shd w:val="clear" w:color="auto" w:fill="auto"/>
            <w:vAlign w:val="center"/>
          </w:tcPr>
          <w:p w:rsidR="00685E55" w:rsidRPr="00685E55" w:rsidRDefault="00685E55" w:rsidP="00177E4E">
            <w:pPr>
              <w:spacing w:after="0" w:line="240" w:lineRule="auto"/>
              <w:jc w:val="center"/>
              <w:rPr>
                <w:rFonts w:asciiTheme="majorHAnsi" w:eastAsia="Times New Roman" w:hAnsiTheme="majorHAnsi" w:cs="Times New Roman"/>
                <w:sz w:val="20"/>
                <w:szCs w:val="20"/>
              </w:rPr>
            </w:pPr>
            <w:proofErr w:type="spellStart"/>
            <w:r w:rsidRPr="00685E55">
              <w:rPr>
                <w:rFonts w:asciiTheme="majorHAnsi" w:eastAsia="Times New Roman" w:hAnsiTheme="majorHAnsi" w:cs="Times New Roman"/>
                <w:sz w:val="20"/>
                <w:szCs w:val="20"/>
              </w:rPr>
              <w:t>Mult</w:t>
            </w:r>
            <w:proofErr w:type="spellEnd"/>
            <w:r w:rsidRPr="00685E55">
              <w:rPr>
                <w:rFonts w:asciiTheme="majorHAnsi" w:eastAsia="Times New Roman" w:hAnsiTheme="majorHAnsi" w:cs="Times New Roman"/>
                <w:sz w:val="20"/>
                <w:szCs w:val="20"/>
              </w:rPr>
              <w:t>.</w:t>
            </w:r>
          </w:p>
        </w:tc>
        <w:tc>
          <w:tcPr>
            <w:tcW w:w="810" w:type="dxa"/>
            <w:shd w:val="clear" w:color="auto" w:fill="auto"/>
            <w:vAlign w:val="center"/>
          </w:tcPr>
          <w:p w:rsidR="00685E55" w:rsidRPr="0047432F" w:rsidRDefault="00685E55" w:rsidP="00177E4E">
            <w:pPr>
              <w:spacing w:after="0" w:line="240" w:lineRule="auto"/>
              <w:jc w:val="center"/>
              <w:rPr>
                <w:rFonts w:asciiTheme="majorHAnsi" w:eastAsia="Times New Roman" w:hAnsiTheme="majorHAnsi" w:cs="Times New Roman"/>
                <w:sz w:val="20"/>
                <w:szCs w:val="20"/>
              </w:rPr>
            </w:pPr>
            <w:r w:rsidRPr="0047432F">
              <w:rPr>
                <w:rFonts w:asciiTheme="majorHAnsi" w:eastAsia="Times New Roman" w:hAnsiTheme="majorHAnsi" w:cs="Times New Roman"/>
                <w:sz w:val="20"/>
                <w:szCs w:val="20"/>
              </w:rPr>
              <w:t>Delete Site</w:t>
            </w:r>
          </w:p>
        </w:tc>
        <w:tc>
          <w:tcPr>
            <w:tcW w:w="1980" w:type="dxa"/>
            <w:shd w:val="clear" w:color="auto" w:fill="auto"/>
            <w:vAlign w:val="center"/>
          </w:tcPr>
          <w:p w:rsidR="00685E55" w:rsidRPr="00685E55" w:rsidRDefault="00685E55"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Notified NWCCU of administrative change, CTC retaining</w:t>
            </w:r>
          </w:p>
        </w:tc>
        <w:tc>
          <w:tcPr>
            <w:tcW w:w="1125" w:type="dxa"/>
            <w:vAlign w:val="center"/>
          </w:tcPr>
          <w:p w:rsidR="00685E55" w:rsidRPr="00685E55" w:rsidRDefault="00685E55" w:rsidP="00177E4E">
            <w:pPr>
              <w:spacing w:after="0" w:line="240" w:lineRule="auto"/>
              <w:jc w:val="center"/>
              <w:rPr>
                <w:rFonts w:asciiTheme="majorHAnsi" w:eastAsia="Times New Roman" w:hAnsiTheme="majorHAnsi" w:cs="Times New Roman"/>
                <w:color w:val="000000"/>
                <w:sz w:val="20"/>
                <w:szCs w:val="20"/>
              </w:rPr>
            </w:pPr>
            <w:r w:rsidRPr="00685E55">
              <w:rPr>
                <w:rFonts w:asciiTheme="majorHAnsi" w:eastAsia="Times New Roman" w:hAnsiTheme="majorHAnsi" w:cs="Times New Roman"/>
                <w:color w:val="000000"/>
                <w:sz w:val="20"/>
                <w:szCs w:val="20"/>
              </w:rPr>
              <w:t>N/A</w:t>
            </w:r>
          </w:p>
        </w:tc>
        <w:tc>
          <w:tcPr>
            <w:tcW w:w="1125" w:type="dxa"/>
            <w:vAlign w:val="center"/>
          </w:tcPr>
          <w:p w:rsidR="00685E55" w:rsidRPr="00685E55" w:rsidRDefault="00685E55" w:rsidP="00177E4E">
            <w:pPr>
              <w:spacing w:after="0" w:line="240" w:lineRule="auto"/>
              <w:jc w:val="center"/>
              <w:rPr>
                <w:rFonts w:asciiTheme="majorHAnsi" w:eastAsia="Times New Roman" w:hAnsiTheme="majorHAnsi" w:cs="Times New Roman"/>
                <w:color w:val="000000"/>
                <w:sz w:val="20"/>
                <w:szCs w:val="20"/>
              </w:rPr>
            </w:pPr>
            <w:r w:rsidRPr="00685E55">
              <w:rPr>
                <w:rFonts w:asciiTheme="majorHAnsi" w:eastAsia="Times New Roman" w:hAnsiTheme="majorHAnsi" w:cs="Times New Roman"/>
                <w:color w:val="000000"/>
                <w:sz w:val="20"/>
                <w:szCs w:val="20"/>
              </w:rPr>
              <w:t>Notified 11/21/14</w:t>
            </w:r>
          </w:p>
        </w:tc>
      </w:tr>
      <w:tr w:rsidR="0047432F" w:rsidRPr="00685E55" w:rsidTr="0047432F">
        <w:trPr>
          <w:cantSplit/>
          <w:trHeight w:val="20"/>
        </w:trPr>
        <w:tc>
          <w:tcPr>
            <w:tcW w:w="900" w:type="dxa"/>
            <w:shd w:val="clear" w:color="auto" w:fill="auto"/>
            <w:vAlign w:val="center"/>
          </w:tcPr>
          <w:p w:rsidR="000748E9" w:rsidRPr="00685E55" w:rsidRDefault="000748E9" w:rsidP="00CC6098">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lastRenderedPageBreak/>
              <w:t>COH</w:t>
            </w:r>
          </w:p>
        </w:tc>
        <w:tc>
          <w:tcPr>
            <w:tcW w:w="2700" w:type="dxa"/>
            <w:shd w:val="clear" w:color="auto" w:fill="auto"/>
            <w:vAlign w:val="center"/>
          </w:tcPr>
          <w:p w:rsidR="000748E9" w:rsidRPr="00685E55" w:rsidRDefault="000748E9" w:rsidP="00CC6098">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Nursing Practice</w:t>
            </w:r>
          </w:p>
        </w:tc>
        <w:tc>
          <w:tcPr>
            <w:tcW w:w="720" w:type="dxa"/>
            <w:shd w:val="clear" w:color="auto" w:fill="auto"/>
            <w:vAlign w:val="center"/>
          </w:tcPr>
          <w:p w:rsidR="000748E9" w:rsidRPr="00685E55" w:rsidRDefault="000748E9" w:rsidP="00CC6098">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DNP</w:t>
            </w:r>
          </w:p>
        </w:tc>
        <w:tc>
          <w:tcPr>
            <w:tcW w:w="810" w:type="dxa"/>
            <w:shd w:val="clear" w:color="auto" w:fill="auto"/>
            <w:vAlign w:val="center"/>
          </w:tcPr>
          <w:p w:rsidR="000748E9" w:rsidRPr="00685E55" w:rsidRDefault="000748E9" w:rsidP="00CC6098">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New</w:t>
            </w:r>
          </w:p>
        </w:tc>
        <w:tc>
          <w:tcPr>
            <w:tcW w:w="1980" w:type="dxa"/>
            <w:shd w:val="clear" w:color="auto" w:fill="auto"/>
            <w:vAlign w:val="center"/>
          </w:tcPr>
          <w:p w:rsidR="000748E9" w:rsidRPr="00685E55" w:rsidRDefault="00685E55" w:rsidP="00CC6098">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BOR Scheduled</w:t>
            </w:r>
          </w:p>
        </w:tc>
        <w:tc>
          <w:tcPr>
            <w:tcW w:w="1125" w:type="dxa"/>
            <w:vAlign w:val="center"/>
          </w:tcPr>
          <w:p w:rsidR="000748E9" w:rsidRPr="00685E55" w:rsidRDefault="008D5FFB" w:rsidP="008D5FFB">
            <w:pPr>
              <w:spacing w:after="0" w:line="240" w:lineRule="auto"/>
              <w:jc w:val="center"/>
              <w:rPr>
                <w:rFonts w:asciiTheme="majorHAnsi" w:eastAsia="Times New Roman" w:hAnsiTheme="majorHAnsi" w:cs="Times New Roman"/>
                <w:color w:val="000000"/>
                <w:sz w:val="20"/>
                <w:szCs w:val="20"/>
              </w:rPr>
            </w:pPr>
            <w:r w:rsidRPr="00685E55">
              <w:rPr>
                <w:rFonts w:asciiTheme="majorHAnsi" w:eastAsia="Times New Roman" w:hAnsiTheme="majorHAnsi" w:cs="Times New Roman"/>
                <w:color w:val="000000"/>
                <w:sz w:val="20"/>
                <w:szCs w:val="20"/>
              </w:rPr>
              <w:t>Scheduled 12/12/14</w:t>
            </w:r>
          </w:p>
        </w:tc>
        <w:tc>
          <w:tcPr>
            <w:tcW w:w="1125" w:type="dxa"/>
            <w:vAlign w:val="center"/>
          </w:tcPr>
          <w:p w:rsidR="000748E9" w:rsidRPr="00685E55" w:rsidRDefault="000748E9" w:rsidP="00CC6098">
            <w:pPr>
              <w:spacing w:after="0" w:line="240" w:lineRule="auto"/>
              <w:jc w:val="center"/>
              <w:rPr>
                <w:rFonts w:asciiTheme="majorHAnsi" w:eastAsia="Times New Roman" w:hAnsiTheme="majorHAnsi" w:cs="Times New Roman"/>
                <w:color w:val="000000"/>
                <w:sz w:val="20"/>
                <w:szCs w:val="20"/>
              </w:rPr>
            </w:pPr>
          </w:p>
        </w:tc>
      </w:tr>
      <w:tr w:rsidR="0047432F" w:rsidRPr="00685E55" w:rsidTr="0047432F">
        <w:trPr>
          <w:cantSplit/>
          <w:trHeight w:val="20"/>
        </w:trPr>
        <w:tc>
          <w:tcPr>
            <w:tcW w:w="90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MSC</w:t>
            </w:r>
          </w:p>
        </w:tc>
        <w:tc>
          <w:tcPr>
            <w:tcW w:w="270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Veterinary Technology</w:t>
            </w:r>
          </w:p>
        </w:tc>
        <w:tc>
          <w:tcPr>
            <w:tcW w:w="72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AAS</w:t>
            </w:r>
          </w:p>
        </w:tc>
        <w:tc>
          <w:tcPr>
            <w:tcW w:w="81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New</w:t>
            </w:r>
          </w:p>
        </w:tc>
        <w:tc>
          <w:tcPr>
            <w:tcW w:w="1980" w:type="dxa"/>
            <w:shd w:val="clear" w:color="auto" w:fill="auto"/>
            <w:vAlign w:val="center"/>
          </w:tcPr>
          <w:p w:rsidR="008D5FFB" w:rsidRPr="00685E55" w:rsidRDefault="00685E55" w:rsidP="00685E55">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SAC Approved, Awaiting BOR Scheduling</w:t>
            </w:r>
          </w:p>
        </w:tc>
        <w:tc>
          <w:tcPr>
            <w:tcW w:w="1125" w:type="dxa"/>
            <w:vAlign w:val="center"/>
          </w:tcPr>
          <w:p w:rsidR="008D5FFB" w:rsidRPr="00685E55" w:rsidRDefault="008D5FFB" w:rsidP="008D5FFB">
            <w:pPr>
              <w:spacing w:after="0" w:line="240" w:lineRule="auto"/>
              <w:jc w:val="center"/>
              <w:rPr>
                <w:rFonts w:asciiTheme="majorHAnsi" w:eastAsia="Times New Roman" w:hAnsiTheme="majorHAnsi" w:cs="Times New Roman"/>
                <w:color w:val="000000"/>
                <w:sz w:val="20"/>
                <w:szCs w:val="20"/>
              </w:rPr>
            </w:pPr>
            <w:r w:rsidRPr="00685E55">
              <w:rPr>
                <w:rFonts w:asciiTheme="majorHAnsi" w:eastAsia="Times New Roman" w:hAnsiTheme="majorHAnsi" w:cs="Times New Roman"/>
                <w:color w:val="000000"/>
                <w:sz w:val="20"/>
                <w:szCs w:val="20"/>
              </w:rPr>
              <w:t xml:space="preserve">TBD – </w:t>
            </w:r>
          </w:p>
          <w:p w:rsidR="008D5FFB" w:rsidRPr="00685E55" w:rsidRDefault="008D5FFB" w:rsidP="008D5FFB">
            <w:pPr>
              <w:spacing w:after="0" w:line="240" w:lineRule="auto"/>
              <w:jc w:val="center"/>
              <w:rPr>
                <w:rFonts w:asciiTheme="majorHAnsi" w:eastAsia="Times New Roman" w:hAnsiTheme="majorHAnsi" w:cs="Times New Roman"/>
                <w:color w:val="000000"/>
                <w:sz w:val="20"/>
                <w:szCs w:val="20"/>
              </w:rPr>
            </w:pPr>
            <w:r w:rsidRPr="00685E55">
              <w:rPr>
                <w:rFonts w:asciiTheme="majorHAnsi" w:eastAsia="Times New Roman" w:hAnsiTheme="majorHAnsi" w:cs="Times New Roman"/>
                <w:color w:val="000000"/>
                <w:sz w:val="20"/>
                <w:szCs w:val="20"/>
              </w:rPr>
              <w:t>Feb 2014?</w:t>
            </w:r>
          </w:p>
        </w:tc>
        <w:tc>
          <w:tcPr>
            <w:tcW w:w="1125" w:type="dxa"/>
            <w:vAlign w:val="center"/>
          </w:tcPr>
          <w:p w:rsidR="008D5FFB" w:rsidRPr="00685E55" w:rsidRDefault="008D5FFB" w:rsidP="00177E4E">
            <w:pPr>
              <w:spacing w:after="0" w:line="240" w:lineRule="auto"/>
              <w:jc w:val="center"/>
              <w:rPr>
                <w:rFonts w:asciiTheme="majorHAnsi" w:eastAsia="Times New Roman" w:hAnsiTheme="majorHAnsi" w:cs="Times New Roman"/>
                <w:color w:val="000000"/>
                <w:sz w:val="20"/>
                <w:szCs w:val="20"/>
              </w:rPr>
            </w:pPr>
          </w:p>
        </w:tc>
      </w:tr>
      <w:tr w:rsidR="0047432F" w:rsidRPr="00685E55" w:rsidTr="0047432F">
        <w:trPr>
          <w:cantSplit/>
          <w:trHeight w:val="20"/>
        </w:trPr>
        <w:tc>
          <w:tcPr>
            <w:tcW w:w="90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CoEng</w:t>
            </w:r>
          </w:p>
        </w:tc>
        <w:tc>
          <w:tcPr>
            <w:tcW w:w="2700" w:type="dxa"/>
            <w:shd w:val="clear" w:color="auto" w:fill="auto"/>
            <w:vAlign w:val="center"/>
          </w:tcPr>
          <w:p w:rsidR="008D5FFB" w:rsidRPr="00685E55" w:rsidRDefault="008D5FFB" w:rsidP="00685E55">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 xml:space="preserve">Computer </w:t>
            </w:r>
            <w:r w:rsidR="00685E55">
              <w:rPr>
                <w:rFonts w:asciiTheme="majorHAnsi" w:eastAsia="Times New Roman" w:hAnsiTheme="majorHAnsi" w:cs="Times New Roman"/>
                <w:sz w:val="20"/>
                <w:szCs w:val="20"/>
              </w:rPr>
              <w:t>Science</w:t>
            </w:r>
            <w:r w:rsidRPr="00685E55">
              <w:rPr>
                <w:rFonts w:asciiTheme="majorHAnsi" w:eastAsia="Times New Roman" w:hAnsiTheme="majorHAnsi" w:cs="Times New Roman"/>
                <w:sz w:val="20"/>
                <w:szCs w:val="20"/>
              </w:rPr>
              <w:t xml:space="preserve"> and Computer </w:t>
            </w:r>
            <w:r w:rsidR="00685E55">
              <w:rPr>
                <w:rFonts w:asciiTheme="majorHAnsi" w:eastAsia="Times New Roman" w:hAnsiTheme="majorHAnsi" w:cs="Times New Roman"/>
                <w:sz w:val="20"/>
                <w:szCs w:val="20"/>
              </w:rPr>
              <w:t>Engineering</w:t>
            </w:r>
          </w:p>
        </w:tc>
        <w:tc>
          <w:tcPr>
            <w:tcW w:w="72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MS</w:t>
            </w:r>
          </w:p>
        </w:tc>
        <w:tc>
          <w:tcPr>
            <w:tcW w:w="810" w:type="dxa"/>
            <w:shd w:val="clear" w:color="auto" w:fill="auto"/>
            <w:vAlign w:val="center"/>
          </w:tcPr>
          <w:p w:rsidR="008D5FFB" w:rsidRPr="00685E55" w:rsidRDefault="008D5FFB" w:rsidP="00177E4E">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New</w:t>
            </w:r>
          </w:p>
        </w:tc>
        <w:tc>
          <w:tcPr>
            <w:tcW w:w="1980" w:type="dxa"/>
            <w:shd w:val="clear" w:color="auto" w:fill="auto"/>
            <w:vAlign w:val="center"/>
          </w:tcPr>
          <w:p w:rsidR="008D5FFB" w:rsidRPr="00685E55" w:rsidRDefault="008D5FFB" w:rsidP="00685E55">
            <w:pPr>
              <w:spacing w:after="0" w:line="240" w:lineRule="auto"/>
              <w:jc w:val="center"/>
              <w:rPr>
                <w:rFonts w:asciiTheme="majorHAnsi" w:eastAsia="Times New Roman" w:hAnsiTheme="majorHAnsi" w:cs="Times New Roman"/>
                <w:sz w:val="20"/>
                <w:szCs w:val="20"/>
              </w:rPr>
            </w:pPr>
            <w:r w:rsidRPr="00685E55">
              <w:rPr>
                <w:rFonts w:asciiTheme="majorHAnsi" w:eastAsia="Times New Roman" w:hAnsiTheme="majorHAnsi" w:cs="Times New Roman"/>
                <w:sz w:val="20"/>
                <w:szCs w:val="20"/>
              </w:rPr>
              <w:t xml:space="preserve">Awaiting </w:t>
            </w:r>
            <w:r w:rsidR="00685E55">
              <w:rPr>
                <w:rFonts w:asciiTheme="majorHAnsi" w:eastAsia="Times New Roman" w:hAnsiTheme="majorHAnsi" w:cs="Times New Roman"/>
                <w:sz w:val="20"/>
                <w:szCs w:val="20"/>
              </w:rPr>
              <w:t>BOR Scheduling</w:t>
            </w:r>
          </w:p>
        </w:tc>
        <w:tc>
          <w:tcPr>
            <w:tcW w:w="1125" w:type="dxa"/>
            <w:vAlign w:val="center"/>
          </w:tcPr>
          <w:p w:rsidR="008D5FFB" w:rsidRPr="00685E55" w:rsidRDefault="008D5FFB" w:rsidP="00177E4E">
            <w:pPr>
              <w:spacing w:after="0" w:line="240" w:lineRule="auto"/>
              <w:jc w:val="center"/>
              <w:rPr>
                <w:rFonts w:asciiTheme="majorHAnsi" w:eastAsia="Times New Roman" w:hAnsiTheme="majorHAnsi" w:cs="Times New Roman"/>
                <w:color w:val="000000"/>
                <w:sz w:val="20"/>
                <w:szCs w:val="20"/>
              </w:rPr>
            </w:pPr>
            <w:r w:rsidRPr="00685E55">
              <w:rPr>
                <w:rFonts w:asciiTheme="majorHAnsi" w:eastAsia="Times New Roman" w:hAnsiTheme="majorHAnsi" w:cs="Times New Roman"/>
                <w:color w:val="000000"/>
                <w:sz w:val="20"/>
                <w:szCs w:val="20"/>
              </w:rPr>
              <w:t>TBD</w:t>
            </w:r>
          </w:p>
        </w:tc>
        <w:tc>
          <w:tcPr>
            <w:tcW w:w="1125" w:type="dxa"/>
            <w:vAlign w:val="center"/>
          </w:tcPr>
          <w:p w:rsidR="008D5FFB" w:rsidRPr="00685E55" w:rsidRDefault="008D5FFB" w:rsidP="00177E4E">
            <w:pPr>
              <w:spacing w:after="0" w:line="240" w:lineRule="auto"/>
              <w:jc w:val="center"/>
              <w:rPr>
                <w:rFonts w:asciiTheme="majorHAnsi" w:eastAsia="Times New Roman" w:hAnsiTheme="majorHAnsi" w:cs="Times New Roman"/>
                <w:color w:val="000000"/>
                <w:sz w:val="20"/>
                <w:szCs w:val="20"/>
              </w:rPr>
            </w:pPr>
          </w:p>
        </w:tc>
      </w:tr>
    </w:tbl>
    <w:p w:rsidR="00313C6E" w:rsidRDefault="00313C6E" w:rsidP="00313C6E">
      <w:pPr>
        <w:spacing w:after="0" w:line="240" w:lineRule="auto"/>
        <w:ind w:left="720"/>
        <w:rPr>
          <w:rFonts w:asciiTheme="majorHAnsi" w:hAnsiTheme="majorHAnsi" w:cstheme="minorHAnsi"/>
          <w:sz w:val="24"/>
          <w:szCs w:val="24"/>
        </w:rPr>
      </w:pPr>
    </w:p>
    <w:p w:rsidR="00B86738" w:rsidRPr="00213E89" w:rsidRDefault="00B86738" w:rsidP="00B86738">
      <w:pPr>
        <w:shd w:val="clear" w:color="auto" w:fill="D6E3BC" w:themeFill="accent3" w:themeFillTint="66"/>
        <w:ind w:right="720"/>
        <w:rPr>
          <w:rFonts w:asciiTheme="majorHAnsi" w:hAnsiTheme="majorHAnsi" w:cs="Times New Roman"/>
          <w:b/>
          <w:sz w:val="28"/>
        </w:rPr>
      </w:pPr>
      <w:r w:rsidRPr="00213E89">
        <w:rPr>
          <w:rFonts w:asciiTheme="majorHAnsi" w:hAnsiTheme="majorHAnsi" w:cs="Times New Roman"/>
          <w:b/>
          <w:sz w:val="28"/>
        </w:rPr>
        <w:t xml:space="preserve">Program </w:t>
      </w:r>
      <w:r>
        <w:rPr>
          <w:rFonts w:asciiTheme="majorHAnsi" w:hAnsiTheme="majorHAnsi" w:cs="Times New Roman"/>
          <w:b/>
          <w:sz w:val="28"/>
        </w:rPr>
        <w:t xml:space="preserve">Suspension </w:t>
      </w:r>
      <w:r w:rsidRPr="00213E89">
        <w:rPr>
          <w:rFonts w:asciiTheme="majorHAnsi" w:hAnsiTheme="majorHAnsi" w:cs="Times New Roman"/>
          <w:b/>
          <w:sz w:val="28"/>
        </w:rPr>
        <w:t>Status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700"/>
        <w:gridCol w:w="720"/>
        <w:gridCol w:w="1260"/>
        <w:gridCol w:w="1080"/>
        <w:gridCol w:w="1350"/>
        <w:gridCol w:w="1350"/>
      </w:tblGrid>
      <w:tr w:rsidR="00B86738" w:rsidRPr="00685E55" w:rsidTr="000617EE">
        <w:trPr>
          <w:cantSplit/>
          <w:trHeight w:val="20"/>
          <w:tblHeader/>
        </w:trPr>
        <w:tc>
          <w:tcPr>
            <w:tcW w:w="900" w:type="dxa"/>
            <w:shd w:val="clear" w:color="auto" w:fill="D9D9D9" w:themeFill="background1" w:themeFillShade="D9"/>
            <w:vAlign w:val="center"/>
            <w:hideMark/>
          </w:tcPr>
          <w:p w:rsidR="00B86738" w:rsidRPr="00685E55" w:rsidRDefault="00B86738" w:rsidP="00AE2DF6">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Unit</w:t>
            </w:r>
          </w:p>
        </w:tc>
        <w:tc>
          <w:tcPr>
            <w:tcW w:w="2700" w:type="dxa"/>
            <w:shd w:val="clear" w:color="auto" w:fill="D9D9D9" w:themeFill="background1" w:themeFillShade="D9"/>
            <w:vAlign w:val="center"/>
            <w:hideMark/>
          </w:tcPr>
          <w:p w:rsidR="00B86738" w:rsidRPr="00685E55" w:rsidRDefault="00B86738" w:rsidP="00AE2DF6">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Program</w:t>
            </w:r>
          </w:p>
        </w:tc>
        <w:tc>
          <w:tcPr>
            <w:tcW w:w="720" w:type="dxa"/>
            <w:shd w:val="clear" w:color="auto" w:fill="D9D9D9" w:themeFill="background1" w:themeFillShade="D9"/>
            <w:vAlign w:val="center"/>
            <w:hideMark/>
          </w:tcPr>
          <w:p w:rsidR="00B86738" w:rsidRPr="00685E55" w:rsidRDefault="00B86738" w:rsidP="00AE2DF6">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Level</w:t>
            </w:r>
          </w:p>
        </w:tc>
        <w:tc>
          <w:tcPr>
            <w:tcW w:w="1260" w:type="dxa"/>
            <w:shd w:val="clear" w:color="auto" w:fill="D9D9D9" w:themeFill="background1" w:themeFillShade="D9"/>
            <w:vAlign w:val="center"/>
            <w:hideMark/>
          </w:tcPr>
          <w:p w:rsidR="00B86738" w:rsidRPr="00685E55" w:rsidRDefault="00B86738" w:rsidP="00AE2DF6">
            <w:pPr>
              <w:spacing w:after="0" w:line="240" w:lineRule="auto"/>
              <w:jc w:val="cente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Intent</w:t>
            </w:r>
          </w:p>
        </w:tc>
        <w:tc>
          <w:tcPr>
            <w:tcW w:w="1080" w:type="dxa"/>
            <w:shd w:val="clear" w:color="auto" w:fill="D9D9D9" w:themeFill="background1" w:themeFillShade="D9"/>
            <w:vAlign w:val="center"/>
            <w:hideMark/>
          </w:tcPr>
          <w:p w:rsidR="00B86738" w:rsidRPr="00685E55" w:rsidRDefault="00B86738" w:rsidP="00AE2DF6">
            <w:pPr>
              <w:spacing w:after="0" w:line="240" w:lineRule="auto"/>
              <w:jc w:val="cente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Provost Approval</w:t>
            </w:r>
          </w:p>
        </w:tc>
        <w:tc>
          <w:tcPr>
            <w:tcW w:w="1350" w:type="dxa"/>
            <w:shd w:val="clear" w:color="auto" w:fill="D9D9D9" w:themeFill="background1" w:themeFillShade="D9"/>
            <w:vAlign w:val="center"/>
          </w:tcPr>
          <w:p w:rsidR="00B86738" w:rsidRPr="00685E55" w:rsidRDefault="00B86738" w:rsidP="00AE2DF6">
            <w:pPr>
              <w:spacing w:after="0" w:line="240" w:lineRule="auto"/>
              <w:jc w:val="cente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SAC Notification</w:t>
            </w:r>
          </w:p>
        </w:tc>
        <w:tc>
          <w:tcPr>
            <w:tcW w:w="1350" w:type="dxa"/>
            <w:shd w:val="clear" w:color="auto" w:fill="D9D9D9" w:themeFill="background1" w:themeFillShade="D9"/>
            <w:vAlign w:val="center"/>
          </w:tcPr>
          <w:p w:rsidR="00B86738" w:rsidRPr="00685E55" w:rsidRDefault="00B86738" w:rsidP="00B86738">
            <w:pPr>
              <w:spacing w:after="0" w:line="240" w:lineRule="auto"/>
              <w:jc w:val="center"/>
              <w:rPr>
                <w:rFonts w:asciiTheme="majorHAnsi" w:eastAsia="Times New Roman" w:hAnsiTheme="majorHAnsi" w:cs="Times New Roman"/>
                <w:b/>
                <w:bCs/>
                <w:sz w:val="20"/>
                <w:szCs w:val="20"/>
              </w:rPr>
            </w:pPr>
            <w:r w:rsidRPr="00685E55">
              <w:rPr>
                <w:rFonts w:asciiTheme="majorHAnsi" w:eastAsia="Times New Roman" w:hAnsiTheme="majorHAnsi" w:cs="Times New Roman"/>
                <w:b/>
                <w:bCs/>
                <w:sz w:val="20"/>
                <w:szCs w:val="20"/>
              </w:rPr>
              <w:t xml:space="preserve">NWCCU </w:t>
            </w:r>
            <w:r>
              <w:rPr>
                <w:rFonts w:asciiTheme="majorHAnsi" w:eastAsia="Times New Roman" w:hAnsiTheme="majorHAnsi" w:cs="Times New Roman"/>
                <w:b/>
                <w:bCs/>
                <w:sz w:val="20"/>
                <w:szCs w:val="20"/>
              </w:rPr>
              <w:t>Notification</w:t>
            </w:r>
          </w:p>
        </w:tc>
      </w:tr>
      <w:tr w:rsidR="00B86738" w:rsidRPr="00685E55" w:rsidTr="000617EE">
        <w:trPr>
          <w:cantSplit/>
          <w:trHeight w:val="20"/>
        </w:trPr>
        <w:tc>
          <w:tcPr>
            <w:tcW w:w="900" w:type="dxa"/>
            <w:shd w:val="clear" w:color="auto" w:fill="auto"/>
            <w:vAlign w:val="center"/>
          </w:tcPr>
          <w:p w:rsidR="00B86738" w:rsidRPr="00685E55" w:rsidRDefault="00B86738" w:rsidP="00AE2DF6">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CAS</w:t>
            </w:r>
          </w:p>
        </w:tc>
        <w:tc>
          <w:tcPr>
            <w:tcW w:w="2700" w:type="dxa"/>
            <w:shd w:val="clear" w:color="auto" w:fill="auto"/>
            <w:vAlign w:val="center"/>
          </w:tcPr>
          <w:p w:rsidR="00B86738" w:rsidRPr="00685E55" w:rsidRDefault="00B86738" w:rsidP="00AE2DF6">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Environment and Society</w:t>
            </w:r>
          </w:p>
        </w:tc>
        <w:tc>
          <w:tcPr>
            <w:tcW w:w="720" w:type="dxa"/>
            <w:shd w:val="clear" w:color="auto" w:fill="auto"/>
            <w:vAlign w:val="center"/>
          </w:tcPr>
          <w:p w:rsidR="00B86738" w:rsidRPr="00685E55" w:rsidRDefault="00B86738" w:rsidP="00AE2DF6">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BA</w:t>
            </w:r>
          </w:p>
        </w:tc>
        <w:tc>
          <w:tcPr>
            <w:tcW w:w="1260" w:type="dxa"/>
            <w:shd w:val="clear" w:color="auto" w:fill="auto"/>
            <w:vAlign w:val="center"/>
          </w:tcPr>
          <w:p w:rsidR="00B86738" w:rsidRPr="00685E55" w:rsidRDefault="00B86738" w:rsidP="00B86738">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Deletion</w:t>
            </w:r>
          </w:p>
        </w:tc>
        <w:tc>
          <w:tcPr>
            <w:tcW w:w="1080" w:type="dxa"/>
            <w:shd w:val="clear" w:color="auto" w:fill="auto"/>
            <w:vAlign w:val="center"/>
          </w:tcPr>
          <w:p w:rsidR="00B86738" w:rsidRPr="00685E55" w:rsidRDefault="000617EE" w:rsidP="00AE2DF6">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12/8/14</w:t>
            </w:r>
          </w:p>
        </w:tc>
        <w:tc>
          <w:tcPr>
            <w:tcW w:w="1350" w:type="dxa"/>
            <w:vAlign w:val="center"/>
          </w:tcPr>
          <w:p w:rsidR="00B86738" w:rsidRPr="00685E55" w:rsidRDefault="00B86738" w:rsidP="00AE2DF6">
            <w:pPr>
              <w:spacing w:after="0" w:line="240" w:lineRule="auto"/>
              <w:jc w:val="center"/>
              <w:rPr>
                <w:rFonts w:asciiTheme="majorHAnsi" w:eastAsia="Times New Roman" w:hAnsiTheme="majorHAnsi" w:cs="Times New Roman"/>
                <w:color w:val="000000"/>
                <w:sz w:val="20"/>
                <w:szCs w:val="20"/>
              </w:rPr>
            </w:pPr>
          </w:p>
        </w:tc>
        <w:tc>
          <w:tcPr>
            <w:tcW w:w="1350" w:type="dxa"/>
            <w:vAlign w:val="center"/>
          </w:tcPr>
          <w:p w:rsidR="00B86738" w:rsidRPr="00685E55" w:rsidRDefault="00B86738" w:rsidP="00AE2DF6">
            <w:pPr>
              <w:spacing w:after="0" w:line="240" w:lineRule="auto"/>
              <w:jc w:val="center"/>
              <w:rPr>
                <w:rFonts w:asciiTheme="majorHAnsi" w:eastAsia="Times New Roman" w:hAnsiTheme="majorHAnsi" w:cs="Times New Roman"/>
                <w:color w:val="000000"/>
                <w:sz w:val="20"/>
                <w:szCs w:val="20"/>
              </w:rPr>
            </w:pPr>
          </w:p>
        </w:tc>
      </w:tr>
      <w:tr w:rsidR="00B86738" w:rsidRPr="00685E55" w:rsidTr="000617EE">
        <w:trPr>
          <w:cantSplit/>
          <w:trHeight w:val="20"/>
        </w:trPr>
        <w:tc>
          <w:tcPr>
            <w:tcW w:w="900" w:type="dxa"/>
            <w:shd w:val="clear" w:color="auto" w:fill="auto"/>
            <w:vAlign w:val="center"/>
          </w:tcPr>
          <w:p w:rsidR="00B86738" w:rsidRDefault="00B86738" w:rsidP="00AE2DF6">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CAS</w:t>
            </w:r>
          </w:p>
        </w:tc>
        <w:tc>
          <w:tcPr>
            <w:tcW w:w="2700" w:type="dxa"/>
            <w:shd w:val="clear" w:color="auto" w:fill="auto"/>
            <w:vAlign w:val="center"/>
          </w:tcPr>
          <w:p w:rsidR="00B86738" w:rsidRDefault="00B86738" w:rsidP="00AE2DF6">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Chemistry</w:t>
            </w:r>
          </w:p>
        </w:tc>
        <w:tc>
          <w:tcPr>
            <w:tcW w:w="720" w:type="dxa"/>
            <w:shd w:val="clear" w:color="auto" w:fill="auto"/>
            <w:vAlign w:val="center"/>
          </w:tcPr>
          <w:p w:rsidR="00B86738" w:rsidRDefault="00B86738" w:rsidP="00AE2DF6">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BS</w:t>
            </w:r>
          </w:p>
        </w:tc>
        <w:tc>
          <w:tcPr>
            <w:tcW w:w="1260" w:type="dxa"/>
            <w:shd w:val="clear" w:color="auto" w:fill="auto"/>
            <w:vAlign w:val="center"/>
          </w:tcPr>
          <w:p w:rsidR="00B86738" w:rsidRDefault="000617EE" w:rsidP="00B86738">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Temporary</w:t>
            </w:r>
          </w:p>
        </w:tc>
        <w:tc>
          <w:tcPr>
            <w:tcW w:w="1080" w:type="dxa"/>
            <w:shd w:val="clear" w:color="auto" w:fill="auto"/>
            <w:vAlign w:val="center"/>
          </w:tcPr>
          <w:p w:rsidR="00B86738" w:rsidRPr="00685E55" w:rsidRDefault="000617EE" w:rsidP="00AE2DF6">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12/8/14</w:t>
            </w:r>
          </w:p>
        </w:tc>
        <w:tc>
          <w:tcPr>
            <w:tcW w:w="1350" w:type="dxa"/>
            <w:vAlign w:val="center"/>
          </w:tcPr>
          <w:p w:rsidR="00B86738" w:rsidRPr="00685E55" w:rsidRDefault="00B86738" w:rsidP="00AE2DF6">
            <w:pPr>
              <w:spacing w:after="0" w:line="240" w:lineRule="auto"/>
              <w:jc w:val="center"/>
              <w:rPr>
                <w:rFonts w:asciiTheme="majorHAnsi" w:eastAsia="Times New Roman" w:hAnsiTheme="majorHAnsi" w:cs="Times New Roman"/>
                <w:color w:val="000000"/>
                <w:sz w:val="20"/>
                <w:szCs w:val="20"/>
              </w:rPr>
            </w:pPr>
          </w:p>
        </w:tc>
        <w:tc>
          <w:tcPr>
            <w:tcW w:w="1350" w:type="dxa"/>
            <w:vAlign w:val="center"/>
          </w:tcPr>
          <w:p w:rsidR="00B86738" w:rsidRPr="00685E55" w:rsidRDefault="00B86738" w:rsidP="00AE2DF6">
            <w:pPr>
              <w:spacing w:after="0" w:line="240" w:lineRule="auto"/>
              <w:jc w:val="center"/>
              <w:rPr>
                <w:rFonts w:asciiTheme="majorHAnsi" w:eastAsia="Times New Roman" w:hAnsiTheme="majorHAnsi" w:cs="Times New Roman"/>
                <w:color w:val="000000"/>
                <w:sz w:val="20"/>
                <w:szCs w:val="20"/>
              </w:rPr>
            </w:pPr>
          </w:p>
        </w:tc>
      </w:tr>
    </w:tbl>
    <w:p w:rsidR="00B86738" w:rsidRPr="00213E89" w:rsidRDefault="00B86738" w:rsidP="00313C6E">
      <w:pPr>
        <w:spacing w:after="0" w:line="240" w:lineRule="auto"/>
        <w:ind w:left="720"/>
        <w:rPr>
          <w:rFonts w:asciiTheme="majorHAnsi" w:hAnsiTheme="majorHAnsi" w:cstheme="minorHAnsi"/>
          <w:sz w:val="24"/>
          <w:szCs w:val="24"/>
        </w:rPr>
      </w:pPr>
    </w:p>
    <w:p w:rsidR="00A02B8D" w:rsidRPr="00213E89" w:rsidRDefault="00A02B8D" w:rsidP="00A02B8D">
      <w:pPr>
        <w:spacing w:after="0" w:line="240" w:lineRule="auto"/>
        <w:rPr>
          <w:rFonts w:asciiTheme="majorHAnsi" w:hAnsiTheme="majorHAnsi" w:cstheme="minorHAnsi"/>
          <w:b/>
          <w:sz w:val="24"/>
          <w:szCs w:val="24"/>
        </w:rPr>
      </w:pPr>
    </w:p>
    <w:p w:rsidR="009729E3" w:rsidRPr="00213E89" w:rsidRDefault="009729E3" w:rsidP="00BE77BA">
      <w:pPr>
        <w:shd w:val="clear" w:color="auto" w:fill="D6E3BC" w:themeFill="accent3" w:themeFillTint="66"/>
        <w:tabs>
          <w:tab w:val="left" w:pos="3000"/>
        </w:tabs>
        <w:ind w:right="720"/>
        <w:rPr>
          <w:rFonts w:asciiTheme="majorHAnsi" w:hAnsiTheme="majorHAnsi" w:cs="Times New Roman"/>
          <w:b/>
          <w:sz w:val="28"/>
        </w:rPr>
      </w:pPr>
      <w:r w:rsidRPr="00213E89">
        <w:rPr>
          <w:rFonts w:asciiTheme="majorHAnsi" w:hAnsiTheme="majorHAnsi" w:cs="Times New Roman"/>
          <w:b/>
          <w:sz w:val="28"/>
        </w:rPr>
        <w:t>Accreditation</w:t>
      </w:r>
      <w:r w:rsidRPr="00213E89">
        <w:rPr>
          <w:rFonts w:asciiTheme="majorHAnsi" w:hAnsiTheme="majorHAnsi" w:cs="Times New Roman"/>
          <w:b/>
          <w:sz w:val="28"/>
        </w:rPr>
        <w:tab/>
      </w:r>
    </w:p>
    <w:p w:rsidR="00A02B8D" w:rsidRPr="00213E89" w:rsidRDefault="00E901E7" w:rsidP="00A02B8D">
      <w:pPr>
        <w:spacing w:after="0" w:line="240" w:lineRule="auto"/>
        <w:rPr>
          <w:rFonts w:asciiTheme="majorHAnsi" w:hAnsiTheme="majorHAnsi" w:cstheme="minorHAnsi"/>
          <w:b/>
          <w:sz w:val="24"/>
          <w:szCs w:val="24"/>
        </w:rPr>
      </w:pPr>
      <w:r w:rsidRPr="00213E89">
        <w:rPr>
          <w:rFonts w:asciiTheme="majorHAnsi" w:hAnsiTheme="majorHAnsi" w:cstheme="minorHAnsi"/>
          <w:b/>
          <w:sz w:val="24"/>
          <w:szCs w:val="24"/>
        </w:rPr>
        <w:t xml:space="preserve">Institutional </w:t>
      </w:r>
      <w:r w:rsidR="00A02B8D" w:rsidRPr="00213E89">
        <w:rPr>
          <w:rFonts w:asciiTheme="majorHAnsi" w:hAnsiTheme="majorHAnsi" w:cstheme="minorHAnsi"/>
          <w:b/>
          <w:sz w:val="24"/>
          <w:szCs w:val="24"/>
        </w:rPr>
        <w:t xml:space="preserve">Accreditation: </w:t>
      </w:r>
      <w:hyperlink r:id="rId14" w:history="1">
        <w:r w:rsidRPr="00213E89">
          <w:rPr>
            <w:rStyle w:val="Hyperlink"/>
            <w:rFonts w:asciiTheme="majorHAnsi" w:hAnsiTheme="majorHAnsi"/>
            <w:b/>
          </w:rPr>
          <w:t>http://www.uaa.alaska.edu/undergraduate-academic-affairs/Accreditation/index.cfm</w:t>
        </w:r>
      </w:hyperlink>
      <w:r w:rsidRPr="00213E89">
        <w:rPr>
          <w:rFonts w:asciiTheme="majorHAnsi" w:hAnsiTheme="majorHAnsi"/>
          <w:b/>
        </w:rPr>
        <w:t xml:space="preserve"> </w:t>
      </w:r>
    </w:p>
    <w:p w:rsidR="00213E89" w:rsidRPr="00213E89" w:rsidRDefault="00213E89" w:rsidP="00213E89">
      <w:pPr>
        <w:pStyle w:val="ListParagraph"/>
        <w:numPr>
          <w:ilvl w:val="0"/>
          <w:numId w:val="17"/>
        </w:numPr>
        <w:rPr>
          <w:rFonts w:asciiTheme="majorHAnsi" w:hAnsiTheme="majorHAnsi"/>
        </w:rPr>
      </w:pPr>
      <w:r w:rsidRPr="00213E89">
        <w:rPr>
          <w:rFonts w:asciiTheme="majorHAnsi" w:hAnsiTheme="majorHAnsi"/>
          <w:b/>
        </w:rPr>
        <w:t>Follow up to Mid-Cycle Review Site Visit:</w:t>
      </w:r>
      <w:r w:rsidRPr="00213E89">
        <w:rPr>
          <w:rFonts w:asciiTheme="majorHAnsi" w:hAnsiTheme="majorHAnsi"/>
        </w:rPr>
        <w:t xml:space="preserve"> The NWCCU evaluators recommended that UAA move quickly to finalize the indicators and the method of showing mission fulfillment.  The Faculty Senate Executive Board was updated on progress toward these goals for the current accreditation cycle.  More to come soon…</w:t>
      </w:r>
    </w:p>
    <w:p w:rsidR="00E901E7" w:rsidRPr="00213E89" w:rsidRDefault="00E901E7" w:rsidP="00E901E7">
      <w:pPr>
        <w:spacing w:after="0" w:line="240" w:lineRule="auto"/>
        <w:rPr>
          <w:rFonts w:asciiTheme="majorHAnsi" w:hAnsiTheme="majorHAnsi" w:cstheme="minorHAnsi"/>
          <w:b/>
          <w:sz w:val="24"/>
          <w:szCs w:val="24"/>
        </w:rPr>
      </w:pPr>
      <w:r w:rsidRPr="00213E89">
        <w:rPr>
          <w:rFonts w:asciiTheme="majorHAnsi" w:hAnsiTheme="majorHAnsi" w:cstheme="minorHAnsi"/>
          <w:b/>
          <w:sz w:val="24"/>
          <w:szCs w:val="24"/>
        </w:rPr>
        <w:t xml:space="preserve">Program Accreditation: </w:t>
      </w:r>
      <w:hyperlink r:id="rId15" w:history="1">
        <w:r w:rsidRPr="00213E89">
          <w:rPr>
            <w:rStyle w:val="Hyperlink"/>
            <w:rFonts w:asciiTheme="majorHAnsi" w:hAnsiTheme="majorHAnsi"/>
            <w:b/>
          </w:rPr>
          <w:t>http://www.uaa.alaska.edu/undergraduate-academic-affairs/program-accreditation.cfm</w:t>
        </w:r>
      </w:hyperlink>
      <w:r w:rsidRPr="00213E89">
        <w:rPr>
          <w:rFonts w:asciiTheme="majorHAnsi" w:hAnsiTheme="majorHAnsi"/>
          <w:b/>
        </w:rPr>
        <w:t xml:space="preserve">  </w:t>
      </w:r>
    </w:p>
    <w:p w:rsidR="00213E89" w:rsidRPr="00685E55" w:rsidRDefault="00213E89" w:rsidP="00685E55">
      <w:pPr>
        <w:pStyle w:val="ListParagraph"/>
        <w:numPr>
          <w:ilvl w:val="0"/>
          <w:numId w:val="17"/>
        </w:numPr>
        <w:ind w:left="540" w:right="720"/>
        <w:rPr>
          <w:rFonts w:ascii="Cambria" w:hAnsi="Cambria" w:cs="Times New Roman"/>
        </w:rPr>
      </w:pPr>
      <w:r w:rsidRPr="00685E55">
        <w:rPr>
          <w:rFonts w:ascii="Cambria" w:hAnsi="Cambria" w:cs="Times New Roman"/>
        </w:rPr>
        <w:t xml:space="preserve">The </w:t>
      </w:r>
      <w:r w:rsidRPr="00685E55">
        <w:rPr>
          <w:rFonts w:ascii="Cambria" w:hAnsi="Cambria" w:cs="Times New Roman"/>
          <w:b/>
        </w:rPr>
        <w:t>Human Services AAS and BHS</w:t>
      </w:r>
      <w:r w:rsidRPr="00685E55">
        <w:rPr>
          <w:rFonts w:ascii="Cambria" w:hAnsi="Cambria" w:cs="Times New Roman"/>
        </w:rPr>
        <w:t xml:space="preserve"> programs were awarded continuing accreditation through 2018 on the basis of their self-study and site visit this summer and fall. Please join us in congratulating them! </w:t>
      </w:r>
    </w:p>
    <w:p w:rsidR="00213E89" w:rsidRPr="00213E89" w:rsidRDefault="00213E89" w:rsidP="00213E89">
      <w:pPr>
        <w:pStyle w:val="ListParagraph"/>
        <w:ind w:left="1080" w:right="720"/>
        <w:rPr>
          <w:rFonts w:asciiTheme="majorHAnsi" w:hAnsiTheme="majorHAnsi"/>
        </w:rPr>
      </w:pPr>
    </w:p>
    <w:p w:rsidR="00213E89" w:rsidRPr="00213E89" w:rsidRDefault="00213E89" w:rsidP="0047432F">
      <w:pPr>
        <w:pStyle w:val="ListParagraph"/>
        <w:numPr>
          <w:ilvl w:val="0"/>
          <w:numId w:val="13"/>
        </w:numPr>
        <w:ind w:left="540" w:right="720"/>
        <w:rPr>
          <w:rFonts w:asciiTheme="majorHAnsi" w:hAnsiTheme="majorHAnsi"/>
        </w:rPr>
      </w:pPr>
      <w:r w:rsidRPr="00213E89">
        <w:rPr>
          <w:rFonts w:asciiTheme="majorHAnsi" w:hAnsiTheme="majorHAnsi"/>
        </w:rPr>
        <w:t>UAA hosted site visits in November 2014 for the</w:t>
      </w:r>
      <w:r w:rsidRPr="00213E89">
        <w:rPr>
          <w:rFonts w:asciiTheme="majorHAnsi" w:hAnsiTheme="majorHAnsi"/>
          <w:b/>
        </w:rPr>
        <w:t xml:space="preserve"> College of Business and Public Policy</w:t>
      </w:r>
      <w:r w:rsidRPr="00213E89">
        <w:rPr>
          <w:rFonts w:asciiTheme="majorHAnsi" w:hAnsiTheme="majorHAnsi"/>
        </w:rPr>
        <w:t xml:space="preserve"> and the </w:t>
      </w:r>
      <w:r w:rsidRPr="00213E89">
        <w:rPr>
          <w:rFonts w:asciiTheme="majorHAnsi" w:hAnsiTheme="majorHAnsi"/>
          <w:b/>
        </w:rPr>
        <w:t xml:space="preserve">Dietetics BS and Graduate Certificate </w:t>
      </w:r>
      <w:r w:rsidRPr="00213E89">
        <w:rPr>
          <w:rFonts w:asciiTheme="majorHAnsi" w:hAnsiTheme="majorHAnsi"/>
        </w:rPr>
        <w:t xml:space="preserve">programs.  The </w:t>
      </w:r>
      <w:r w:rsidRPr="00213E89">
        <w:rPr>
          <w:rFonts w:asciiTheme="majorHAnsi" w:hAnsiTheme="majorHAnsi"/>
          <w:b/>
        </w:rPr>
        <w:t>Public Health MPH</w:t>
      </w:r>
      <w:r w:rsidRPr="00213E89">
        <w:rPr>
          <w:rFonts w:asciiTheme="majorHAnsi" w:hAnsiTheme="majorHAnsi"/>
        </w:rPr>
        <w:t xml:space="preserve"> and </w:t>
      </w:r>
      <w:r w:rsidRPr="00213E89">
        <w:rPr>
          <w:rFonts w:asciiTheme="majorHAnsi" w:hAnsiTheme="majorHAnsi"/>
          <w:b/>
        </w:rPr>
        <w:t>Construction Management AAS and BS</w:t>
      </w:r>
      <w:r w:rsidRPr="00213E89">
        <w:rPr>
          <w:rFonts w:asciiTheme="majorHAnsi" w:hAnsiTheme="majorHAnsi"/>
        </w:rPr>
        <w:t xml:space="preserve"> also submitted reports in November and December.</w:t>
      </w:r>
    </w:p>
    <w:p w:rsidR="00213E89" w:rsidRPr="00213E89" w:rsidRDefault="00213E89" w:rsidP="0047432F">
      <w:pPr>
        <w:pStyle w:val="ListParagraph"/>
        <w:ind w:left="540"/>
        <w:rPr>
          <w:rFonts w:asciiTheme="majorHAnsi" w:hAnsiTheme="majorHAnsi"/>
        </w:rPr>
      </w:pPr>
    </w:p>
    <w:p w:rsidR="00213E89" w:rsidRPr="00213E89" w:rsidRDefault="00213E89" w:rsidP="0047432F">
      <w:pPr>
        <w:pStyle w:val="ListParagraph"/>
        <w:numPr>
          <w:ilvl w:val="0"/>
          <w:numId w:val="13"/>
        </w:numPr>
        <w:ind w:left="540" w:right="720"/>
        <w:rPr>
          <w:rFonts w:asciiTheme="majorHAnsi" w:hAnsiTheme="majorHAnsi"/>
        </w:rPr>
      </w:pPr>
      <w:r w:rsidRPr="00213E89">
        <w:rPr>
          <w:rFonts w:asciiTheme="majorHAnsi" w:hAnsiTheme="majorHAnsi"/>
        </w:rPr>
        <w:t>Please contact OUAA if you are considering new program accreditation or working on maintaining your already-existing program accreditation. Please also include the Graduate School if the accreditation relates to graduate-level program(s).</w:t>
      </w:r>
    </w:p>
    <w:p w:rsidR="00213E89" w:rsidRPr="00213E89" w:rsidRDefault="00213E89" w:rsidP="0047432F">
      <w:pPr>
        <w:pStyle w:val="ListParagraph"/>
        <w:ind w:left="540"/>
        <w:rPr>
          <w:rStyle w:val="Hyperlink"/>
          <w:rFonts w:asciiTheme="majorHAnsi" w:hAnsiTheme="majorHAnsi"/>
        </w:rPr>
      </w:pPr>
    </w:p>
    <w:p w:rsidR="00213E89" w:rsidRPr="00213E89" w:rsidRDefault="00213E89" w:rsidP="0047432F">
      <w:pPr>
        <w:pStyle w:val="ListParagraph"/>
        <w:numPr>
          <w:ilvl w:val="0"/>
          <w:numId w:val="17"/>
        </w:numPr>
        <w:spacing w:after="160" w:line="259" w:lineRule="auto"/>
        <w:ind w:left="540" w:right="720"/>
        <w:rPr>
          <w:rFonts w:asciiTheme="majorHAnsi" w:hAnsiTheme="majorHAnsi"/>
        </w:rPr>
      </w:pPr>
      <w:r w:rsidRPr="00213E89">
        <w:rPr>
          <w:rFonts w:asciiTheme="majorHAnsi" w:hAnsiTheme="majorHAnsi"/>
        </w:rPr>
        <w:t>Other programs with reports and/or visits coming in AY15:</w:t>
      </w:r>
    </w:p>
    <w:tbl>
      <w:tblPr>
        <w:tblStyle w:val="LightList-Accent3"/>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21"/>
        <w:gridCol w:w="6349"/>
        <w:gridCol w:w="900"/>
        <w:gridCol w:w="900"/>
      </w:tblGrid>
      <w:tr w:rsidR="00213E89" w:rsidRPr="00685E55" w:rsidTr="0047432F">
        <w:trPr>
          <w:cnfStyle w:val="100000000000" w:firstRow="1" w:lastRow="0" w:firstColumn="0" w:lastColumn="0" w:oddVBand="0" w:evenVBand="0" w:oddHBand="0" w:evenHBand="0" w:firstRowFirstColumn="0" w:firstRowLastColumn="0" w:lastRowFirstColumn="0" w:lastRowLastColumn="0"/>
          <w:trHeight w:val="20"/>
        </w:trPr>
        <w:tc>
          <w:tcPr>
            <w:tcW w:w="1121" w:type="dxa"/>
            <w:shd w:val="clear" w:color="auto" w:fill="D9D9D9" w:themeFill="background1" w:themeFillShade="D9"/>
          </w:tcPr>
          <w:p w:rsidR="00213E89" w:rsidRPr="00685E55" w:rsidRDefault="00213E89" w:rsidP="00177E4E">
            <w:pPr>
              <w:jc w:val="center"/>
              <w:rPr>
                <w:rFonts w:asciiTheme="majorHAnsi" w:hAnsiTheme="majorHAnsi"/>
                <w:color w:val="auto"/>
                <w:sz w:val="20"/>
                <w:szCs w:val="20"/>
              </w:rPr>
            </w:pPr>
            <w:r w:rsidRPr="00685E55">
              <w:rPr>
                <w:rFonts w:asciiTheme="majorHAnsi" w:hAnsiTheme="majorHAnsi"/>
                <w:color w:val="auto"/>
                <w:sz w:val="20"/>
                <w:szCs w:val="20"/>
              </w:rPr>
              <w:t>Unit</w:t>
            </w:r>
          </w:p>
        </w:tc>
        <w:tc>
          <w:tcPr>
            <w:tcW w:w="6349" w:type="dxa"/>
            <w:shd w:val="clear" w:color="auto" w:fill="D9D9D9" w:themeFill="background1" w:themeFillShade="D9"/>
          </w:tcPr>
          <w:p w:rsidR="00213E89" w:rsidRPr="00685E55" w:rsidRDefault="00213E89" w:rsidP="00177E4E">
            <w:pPr>
              <w:jc w:val="center"/>
              <w:rPr>
                <w:rFonts w:asciiTheme="majorHAnsi" w:hAnsiTheme="majorHAnsi"/>
                <w:color w:val="auto"/>
                <w:sz w:val="20"/>
                <w:szCs w:val="20"/>
              </w:rPr>
            </w:pPr>
            <w:r w:rsidRPr="00685E55">
              <w:rPr>
                <w:rFonts w:asciiTheme="majorHAnsi" w:hAnsiTheme="majorHAnsi"/>
                <w:color w:val="auto"/>
                <w:sz w:val="20"/>
                <w:szCs w:val="20"/>
              </w:rPr>
              <w:t>Program</w:t>
            </w:r>
          </w:p>
        </w:tc>
        <w:tc>
          <w:tcPr>
            <w:tcW w:w="900" w:type="dxa"/>
            <w:shd w:val="clear" w:color="auto" w:fill="D9D9D9" w:themeFill="background1" w:themeFillShade="D9"/>
          </w:tcPr>
          <w:p w:rsidR="00213E89" w:rsidRPr="00685E55" w:rsidRDefault="00213E89" w:rsidP="00177E4E">
            <w:pPr>
              <w:jc w:val="center"/>
              <w:rPr>
                <w:rFonts w:asciiTheme="majorHAnsi" w:hAnsiTheme="majorHAnsi"/>
                <w:color w:val="auto"/>
                <w:sz w:val="20"/>
                <w:szCs w:val="20"/>
              </w:rPr>
            </w:pPr>
            <w:r w:rsidRPr="00685E55">
              <w:rPr>
                <w:rFonts w:asciiTheme="majorHAnsi" w:hAnsiTheme="majorHAnsi"/>
                <w:color w:val="auto"/>
                <w:sz w:val="20"/>
                <w:szCs w:val="20"/>
              </w:rPr>
              <w:t>Report</w:t>
            </w:r>
          </w:p>
        </w:tc>
        <w:tc>
          <w:tcPr>
            <w:tcW w:w="900" w:type="dxa"/>
            <w:shd w:val="clear" w:color="auto" w:fill="D9D9D9" w:themeFill="background1" w:themeFillShade="D9"/>
          </w:tcPr>
          <w:p w:rsidR="00213E89" w:rsidRPr="00685E55" w:rsidRDefault="00213E89" w:rsidP="00177E4E">
            <w:pPr>
              <w:jc w:val="center"/>
              <w:rPr>
                <w:rFonts w:asciiTheme="majorHAnsi" w:hAnsiTheme="majorHAnsi"/>
                <w:color w:val="auto"/>
                <w:sz w:val="20"/>
                <w:szCs w:val="20"/>
              </w:rPr>
            </w:pPr>
            <w:r w:rsidRPr="00685E55">
              <w:rPr>
                <w:rFonts w:asciiTheme="majorHAnsi" w:hAnsiTheme="majorHAnsi"/>
                <w:color w:val="auto"/>
                <w:sz w:val="20"/>
                <w:szCs w:val="20"/>
              </w:rPr>
              <w:t>Visit</w:t>
            </w:r>
          </w:p>
        </w:tc>
      </w:tr>
      <w:tr w:rsidR="00213E89" w:rsidRPr="00685E55" w:rsidTr="00213E89">
        <w:trPr>
          <w:cnfStyle w:val="000000100000" w:firstRow="0" w:lastRow="0" w:firstColumn="0" w:lastColumn="0" w:oddVBand="0" w:evenVBand="0" w:oddHBand="1" w:evenHBand="0" w:firstRowFirstColumn="0" w:firstRowLastColumn="0" w:lastRowFirstColumn="0" w:lastRowLastColumn="0"/>
          <w:trHeight w:val="20"/>
        </w:trPr>
        <w:tc>
          <w:tcPr>
            <w:tcW w:w="1121" w:type="dxa"/>
            <w:tcBorders>
              <w:top w:val="none" w:sz="0" w:space="0" w:color="auto"/>
              <w:left w:val="none" w:sz="0" w:space="0" w:color="auto"/>
              <w:bottom w:val="none" w:sz="0" w:space="0" w:color="auto"/>
            </w:tcBorders>
          </w:tcPr>
          <w:p w:rsidR="00213E89" w:rsidRPr="00685E55" w:rsidRDefault="00213E89" w:rsidP="00177E4E">
            <w:pPr>
              <w:jc w:val="center"/>
              <w:rPr>
                <w:rFonts w:asciiTheme="majorHAnsi" w:hAnsiTheme="majorHAnsi"/>
                <w:sz w:val="20"/>
                <w:szCs w:val="20"/>
              </w:rPr>
            </w:pPr>
            <w:r w:rsidRPr="00685E55">
              <w:rPr>
                <w:rFonts w:asciiTheme="majorHAnsi" w:hAnsiTheme="majorHAnsi"/>
                <w:sz w:val="20"/>
                <w:szCs w:val="20"/>
              </w:rPr>
              <w:t>COE</w:t>
            </w:r>
          </w:p>
        </w:tc>
        <w:tc>
          <w:tcPr>
            <w:tcW w:w="6349" w:type="dxa"/>
            <w:tcBorders>
              <w:top w:val="none" w:sz="0" w:space="0" w:color="auto"/>
              <w:bottom w:val="none" w:sz="0" w:space="0" w:color="auto"/>
            </w:tcBorders>
          </w:tcPr>
          <w:p w:rsidR="00213E89" w:rsidRPr="00685E55" w:rsidRDefault="00213E89" w:rsidP="00177E4E">
            <w:pPr>
              <w:jc w:val="center"/>
              <w:rPr>
                <w:rFonts w:asciiTheme="majorHAnsi" w:hAnsiTheme="majorHAnsi"/>
                <w:sz w:val="20"/>
                <w:szCs w:val="20"/>
              </w:rPr>
            </w:pPr>
            <w:r w:rsidRPr="00685E55">
              <w:rPr>
                <w:rFonts w:asciiTheme="majorHAnsi" w:hAnsiTheme="majorHAnsi"/>
                <w:sz w:val="20"/>
                <w:szCs w:val="20"/>
              </w:rPr>
              <w:t>Early Childhood Development AAS – Seeking initial accreditation</w:t>
            </w:r>
          </w:p>
        </w:tc>
        <w:tc>
          <w:tcPr>
            <w:tcW w:w="900" w:type="dxa"/>
            <w:tcBorders>
              <w:top w:val="none" w:sz="0" w:space="0" w:color="auto"/>
              <w:bottom w:val="none" w:sz="0" w:space="0" w:color="auto"/>
            </w:tcBorders>
          </w:tcPr>
          <w:p w:rsidR="00213E89" w:rsidRPr="00685E55" w:rsidRDefault="00213E89" w:rsidP="00177E4E">
            <w:pPr>
              <w:jc w:val="center"/>
              <w:rPr>
                <w:rFonts w:asciiTheme="majorHAnsi" w:hAnsiTheme="majorHAnsi"/>
                <w:sz w:val="20"/>
                <w:szCs w:val="20"/>
              </w:rPr>
            </w:pPr>
            <w:r w:rsidRPr="00685E55">
              <w:rPr>
                <w:rFonts w:asciiTheme="majorHAnsi" w:hAnsiTheme="majorHAnsi"/>
                <w:sz w:val="20"/>
                <w:szCs w:val="20"/>
              </w:rPr>
              <w:t>2015</w:t>
            </w:r>
          </w:p>
        </w:tc>
        <w:tc>
          <w:tcPr>
            <w:tcW w:w="900" w:type="dxa"/>
            <w:tcBorders>
              <w:top w:val="none" w:sz="0" w:space="0" w:color="auto"/>
              <w:bottom w:val="none" w:sz="0" w:space="0" w:color="auto"/>
              <w:right w:val="none" w:sz="0" w:space="0" w:color="auto"/>
            </w:tcBorders>
          </w:tcPr>
          <w:p w:rsidR="00213E89" w:rsidRPr="00685E55" w:rsidRDefault="00213E89" w:rsidP="00177E4E">
            <w:pPr>
              <w:jc w:val="center"/>
              <w:rPr>
                <w:rFonts w:asciiTheme="majorHAnsi" w:hAnsiTheme="majorHAnsi"/>
                <w:sz w:val="20"/>
                <w:szCs w:val="20"/>
              </w:rPr>
            </w:pPr>
            <w:r w:rsidRPr="00685E55">
              <w:rPr>
                <w:rFonts w:asciiTheme="majorHAnsi" w:hAnsiTheme="majorHAnsi"/>
                <w:sz w:val="20"/>
                <w:szCs w:val="20"/>
              </w:rPr>
              <w:t>2015</w:t>
            </w:r>
          </w:p>
        </w:tc>
      </w:tr>
      <w:tr w:rsidR="00213E89" w:rsidRPr="00685E55" w:rsidTr="00213E89">
        <w:trPr>
          <w:trHeight w:val="20"/>
        </w:trPr>
        <w:tc>
          <w:tcPr>
            <w:tcW w:w="1121" w:type="dxa"/>
          </w:tcPr>
          <w:p w:rsidR="00213E89" w:rsidRPr="00685E55" w:rsidRDefault="00213E89" w:rsidP="00177E4E">
            <w:pPr>
              <w:jc w:val="center"/>
              <w:rPr>
                <w:rFonts w:asciiTheme="majorHAnsi" w:hAnsiTheme="majorHAnsi"/>
                <w:sz w:val="20"/>
                <w:szCs w:val="20"/>
              </w:rPr>
            </w:pPr>
            <w:r w:rsidRPr="00685E55">
              <w:rPr>
                <w:rFonts w:asciiTheme="majorHAnsi" w:hAnsiTheme="majorHAnsi"/>
                <w:sz w:val="20"/>
                <w:szCs w:val="20"/>
              </w:rPr>
              <w:t>CoEng</w:t>
            </w:r>
          </w:p>
        </w:tc>
        <w:tc>
          <w:tcPr>
            <w:tcW w:w="6349" w:type="dxa"/>
          </w:tcPr>
          <w:p w:rsidR="00213E89" w:rsidRPr="00685E55" w:rsidRDefault="00213E89" w:rsidP="00177E4E">
            <w:pPr>
              <w:jc w:val="center"/>
              <w:rPr>
                <w:rFonts w:asciiTheme="majorHAnsi" w:hAnsiTheme="majorHAnsi"/>
                <w:sz w:val="20"/>
                <w:szCs w:val="20"/>
              </w:rPr>
            </w:pPr>
            <w:r w:rsidRPr="00685E55">
              <w:rPr>
                <w:rFonts w:asciiTheme="majorHAnsi" w:hAnsiTheme="majorHAnsi"/>
                <w:sz w:val="20"/>
                <w:szCs w:val="20"/>
              </w:rPr>
              <w:t>Project Management MS</w:t>
            </w:r>
          </w:p>
        </w:tc>
        <w:tc>
          <w:tcPr>
            <w:tcW w:w="900" w:type="dxa"/>
          </w:tcPr>
          <w:p w:rsidR="00213E89" w:rsidRPr="00685E55" w:rsidRDefault="00213E89" w:rsidP="00177E4E">
            <w:pPr>
              <w:jc w:val="center"/>
              <w:rPr>
                <w:rFonts w:asciiTheme="majorHAnsi" w:hAnsiTheme="majorHAnsi"/>
                <w:sz w:val="20"/>
                <w:szCs w:val="20"/>
              </w:rPr>
            </w:pPr>
            <w:r w:rsidRPr="00685E55">
              <w:rPr>
                <w:rFonts w:asciiTheme="majorHAnsi" w:hAnsiTheme="majorHAnsi"/>
                <w:sz w:val="20"/>
                <w:szCs w:val="20"/>
              </w:rPr>
              <w:t>12/14</w:t>
            </w:r>
          </w:p>
        </w:tc>
        <w:tc>
          <w:tcPr>
            <w:tcW w:w="900" w:type="dxa"/>
          </w:tcPr>
          <w:p w:rsidR="00213E89" w:rsidRPr="00685E55" w:rsidRDefault="00213E89" w:rsidP="00177E4E">
            <w:pPr>
              <w:jc w:val="center"/>
              <w:rPr>
                <w:rFonts w:asciiTheme="majorHAnsi" w:hAnsiTheme="majorHAnsi"/>
                <w:sz w:val="20"/>
                <w:szCs w:val="20"/>
              </w:rPr>
            </w:pPr>
            <w:r w:rsidRPr="00685E55">
              <w:rPr>
                <w:rFonts w:asciiTheme="majorHAnsi" w:hAnsiTheme="majorHAnsi"/>
                <w:sz w:val="20"/>
                <w:szCs w:val="20"/>
              </w:rPr>
              <w:t>2015</w:t>
            </w:r>
          </w:p>
        </w:tc>
      </w:tr>
    </w:tbl>
    <w:p w:rsidR="004836B4" w:rsidRPr="00213E89" w:rsidRDefault="004836B4" w:rsidP="004836B4">
      <w:pPr>
        <w:pStyle w:val="ListParagraph"/>
        <w:rPr>
          <w:rFonts w:asciiTheme="majorHAnsi" w:hAnsiTheme="majorHAnsi"/>
          <w:sz w:val="24"/>
          <w:szCs w:val="24"/>
        </w:rPr>
      </w:pPr>
    </w:p>
    <w:p w:rsidR="009729E3" w:rsidRPr="00213E89" w:rsidRDefault="003054DA" w:rsidP="00BE77BA">
      <w:pPr>
        <w:pStyle w:val="ListParagraph"/>
        <w:shd w:val="clear" w:color="auto" w:fill="D6E3BC" w:themeFill="accent3" w:themeFillTint="66"/>
        <w:tabs>
          <w:tab w:val="left" w:pos="3000"/>
        </w:tabs>
        <w:ind w:left="90" w:right="720"/>
        <w:rPr>
          <w:rFonts w:asciiTheme="majorHAnsi" w:hAnsiTheme="majorHAnsi" w:cs="Times New Roman"/>
          <w:b/>
          <w:sz w:val="28"/>
        </w:rPr>
      </w:pPr>
      <w:r w:rsidRPr="00213E89">
        <w:rPr>
          <w:rFonts w:asciiTheme="majorHAnsi" w:hAnsiTheme="majorHAnsi" w:cs="Times New Roman"/>
          <w:b/>
          <w:sz w:val="28"/>
        </w:rPr>
        <w:t>Course Fees</w:t>
      </w:r>
      <w:r w:rsidR="009729E3" w:rsidRPr="00213E89">
        <w:rPr>
          <w:rFonts w:asciiTheme="majorHAnsi" w:hAnsiTheme="majorHAnsi" w:cs="Times New Roman"/>
          <w:b/>
          <w:sz w:val="28"/>
        </w:rPr>
        <w:tab/>
      </w:r>
    </w:p>
    <w:p w:rsidR="009729E3" w:rsidRPr="00213E89" w:rsidRDefault="009729E3" w:rsidP="009729E3">
      <w:pPr>
        <w:pStyle w:val="ListParagraph"/>
        <w:numPr>
          <w:ilvl w:val="0"/>
          <w:numId w:val="4"/>
        </w:numPr>
        <w:spacing w:after="0" w:line="240" w:lineRule="auto"/>
        <w:rPr>
          <w:rFonts w:asciiTheme="majorHAnsi" w:hAnsiTheme="majorHAnsi"/>
          <w:b/>
          <w:sz w:val="24"/>
          <w:szCs w:val="24"/>
        </w:rPr>
      </w:pPr>
      <w:r w:rsidRPr="00213E89">
        <w:rPr>
          <w:rFonts w:asciiTheme="majorHAnsi" w:hAnsiTheme="majorHAnsi"/>
          <w:sz w:val="24"/>
          <w:szCs w:val="24"/>
          <w:u w:val="single"/>
        </w:rPr>
        <w:t xml:space="preserve">New or Revised Course Fee Request Deadlines (Due to OAA)  </w:t>
      </w:r>
    </w:p>
    <w:p w:rsidR="009729E3" w:rsidRPr="00213E89" w:rsidRDefault="009729E3" w:rsidP="009729E3">
      <w:pPr>
        <w:spacing w:after="0" w:line="240" w:lineRule="auto"/>
        <w:ind w:left="720"/>
        <w:rPr>
          <w:rFonts w:asciiTheme="majorHAnsi" w:hAnsiTheme="majorHAnsi"/>
          <w:b/>
          <w:sz w:val="24"/>
          <w:szCs w:val="24"/>
        </w:rPr>
      </w:pPr>
      <w:r w:rsidRPr="00213E89">
        <w:rPr>
          <w:rFonts w:asciiTheme="majorHAnsi" w:hAnsiTheme="majorHAnsi"/>
          <w:b/>
          <w:sz w:val="24"/>
          <w:szCs w:val="24"/>
        </w:rPr>
        <w:t>Summer Semester 2015</w:t>
      </w:r>
      <w:r w:rsidRPr="00213E89">
        <w:rPr>
          <w:rFonts w:asciiTheme="majorHAnsi" w:hAnsiTheme="majorHAnsi"/>
          <w:b/>
          <w:sz w:val="24"/>
          <w:szCs w:val="24"/>
        </w:rPr>
        <w:tab/>
      </w:r>
      <w:r w:rsidR="00213E89" w:rsidRPr="00213E89">
        <w:rPr>
          <w:rFonts w:asciiTheme="majorHAnsi" w:hAnsiTheme="majorHAnsi"/>
          <w:b/>
          <w:sz w:val="24"/>
          <w:szCs w:val="24"/>
        </w:rPr>
        <w:tab/>
      </w:r>
      <w:r w:rsidRPr="00213E89">
        <w:rPr>
          <w:rFonts w:asciiTheme="majorHAnsi" w:hAnsiTheme="majorHAnsi"/>
          <w:b/>
          <w:sz w:val="24"/>
          <w:szCs w:val="24"/>
        </w:rPr>
        <w:t>Friday, January 23, 2014</w:t>
      </w:r>
    </w:p>
    <w:p w:rsidR="009729E3" w:rsidRPr="00213E89" w:rsidRDefault="009729E3" w:rsidP="009729E3">
      <w:pPr>
        <w:spacing w:after="0" w:line="240" w:lineRule="auto"/>
        <w:ind w:left="720"/>
        <w:rPr>
          <w:rFonts w:asciiTheme="majorHAnsi" w:hAnsiTheme="majorHAnsi"/>
          <w:sz w:val="24"/>
          <w:szCs w:val="24"/>
        </w:rPr>
      </w:pPr>
      <w:r w:rsidRPr="00213E89">
        <w:rPr>
          <w:rFonts w:asciiTheme="majorHAnsi" w:hAnsiTheme="majorHAnsi"/>
          <w:sz w:val="24"/>
          <w:szCs w:val="24"/>
        </w:rPr>
        <w:t>Fall Semester 2015</w:t>
      </w:r>
      <w:r w:rsidRPr="00213E89">
        <w:rPr>
          <w:rFonts w:asciiTheme="majorHAnsi" w:hAnsiTheme="majorHAnsi"/>
          <w:sz w:val="24"/>
          <w:szCs w:val="24"/>
        </w:rPr>
        <w:tab/>
      </w:r>
      <w:r w:rsidRPr="00213E89">
        <w:rPr>
          <w:rFonts w:asciiTheme="majorHAnsi" w:hAnsiTheme="majorHAnsi"/>
          <w:sz w:val="24"/>
          <w:szCs w:val="24"/>
        </w:rPr>
        <w:tab/>
      </w:r>
      <w:r w:rsidR="00213E89">
        <w:rPr>
          <w:rFonts w:asciiTheme="majorHAnsi" w:hAnsiTheme="majorHAnsi"/>
          <w:sz w:val="24"/>
          <w:szCs w:val="24"/>
        </w:rPr>
        <w:tab/>
      </w:r>
      <w:r w:rsidRPr="00213E89">
        <w:rPr>
          <w:rFonts w:asciiTheme="majorHAnsi" w:hAnsiTheme="majorHAnsi"/>
          <w:sz w:val="24"/>
          <w:szCs w:val="24"/>
        </w:rPr>
        <w:t>Friday, March 13, 2015</w:t>
      </w:r>
    </w:p>
    <w:p w:rsidR="009729E3" w:rsidRPr="00213E89" w:rsidRDefault="009729E3" w:rsidP="00AF2218">
      <w:pPr>
        <w:spacing w:after="0" w:line="240" w:lineRule="auto"/>
        <w:ind w:left="720"/>
        <w:rPr>
          <w:rFonts w:asciiTheme="majorHAnsi" w:hAnsiTheme="majorHAnsi"/>
          <w:sz w:val="24"/>
          <w:szCs w:val="24"/>
        </w:rPr>
      </w:pPr>
      <w:r w:rsidRPr="00213E89">
        <w:rPr>
          <w:rFonts w:asciiTheme="majorHAnsi" w:hAnsiTheme="majorHAnsi"/>
          <w:sz w:val="24"/>
          <w:szCs w:val="24"/>
        </w:rPr>
        <w:t xml:space="preserve"> </w:t>
      </w:r>
    </w:p>
    <w:sectPr w:rsidR="009729E3" w:rsidRPr="00213E89" w:rsidSect="00C54F5D">
      <w:headerReference w:type="default" r:id="rId16"/>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8D" w:rsidRDefault="00A02B8D" w:rsidP="00A02B8D">
      <w:pPr>
        <w:spacing w:after="0" w:line="240" w:lineRule="auto"/>
      </w:pPr>
      <w:r>
        <w:separator/>
      </w:r>
    </w:p>
  </w:endnote>
  <w:endnote w:type="continuationSeparator" w:id="0">
    <w:p w:rsidR="00A02B8D" w:rsidRDefault="00A02B8D" w:rsidP="00A0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8D" w:rsidRDefault="00A02B8D" w:rsidP="00A02B8D">
      <w:pPr>
        <w:spacing w:after="0" w:line="240" w:lineRule="auto"/>
      </w:pPr>
      <w:r>
        <w:separator/>
      </w:r>
    </w:p>
  </w:footnote>
  <w:footnote w:type="continuationSeparator" w:id="0">
    <w:p w:rsidR="00A02B8D" w:rsidRDefault="00A02B8D" w:rsidP="00A02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5E" w:rsidRPr="00837FBC" w:rsidRDefault="00837FBC" w:rsidP="00837FBC">
    <w:pPr>
      <w:spacing w:after="40"/>
      <w:ind w:left="5760"/>
      <w:rPr>
        <w:rFonts w:ascii="Cambria" w:hAnsi="Cambria"/>
        <w:sz w:val="17"/>
        <w:szCs w:val="17"/>
      </w:rPr>
    </w:pPr>
    <w:r w:rsidRPr="008D5FFB">
      <w:rPr>
        <w:noProof/>
        <w:sz w:val="20"/>
      </w:rPr>
      <w:drawing>
        <wp:anchor distT="0" distB="0" distL="114300" distR="114300" simplePos="0" relativeHeight="251659264" behindDoc="1" locked="0" layoutInCell="1" allowOverlap="1" wp14:anchorId="7372C99B" wp14:editId="15AD3746">
          <wp:simplePos x="0" y="0"/>
          <wp:positionH relativeFrom="column">
            <wp:posOffset>0</wp:posOffset>
          </wp:positionH>
          <wp:positionV relativeFrom="paragraph">
            <wp:posOffset>-1</wp:posOffset>
          </wp:positionV>
          <wp:extent cx="2883282" cy="581025"/>
          <wp:effectExtent l="0" t="0" r="0" b="0"/>
          <wp:wrapNone/>
          <wp:docPr id="8" name="Picture 8" descr="X:\CurrAssesAcred\Academic Affairs\OUAA Logos\JPGs\OUAA_logo_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urrAssesAcred\Academic Affairs\OUAA Logos\JPGs\OUAA_logo_G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549" cy="582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FFB">
      <w:rPr>
        <w:rFonts w:ascii="Cambria" w:hAnsi="Cambria"/>
        <w:sz w:val="24"/>
        <w:szCs w:val="30"/>
      </w:rPr>
      <w:t xml:space="preserve">Undergraduate Academic Affairs Report to the </w:t>
    </w:r>
    <w:r w:rsidRPr="008D5FFB">
      <w:rPr>
        <w:rFonts w:ascii="Cambria" w:hAnsi="Cambria"/>
        <w:sz w:val="24"/>
        <w:szCs w:val="26"/>
      </w:rPr>
      <w:t>Undergra</w:t>
    </w:r>
    <w:r w:rsidR="00B86738">
      <w:rPr>
        <w:rFonts w:ascii="Cambria" w:hAnsi="Cambria"/>
        <w:sz w:val="24"/>
        <w:szCs w:val="26"/>
      </w:rPr>
      <w:t xml:space="preserve">duate Academic Board </w:t>
    </w:r>
    <w:r w:rsidR="00B86738">
      <w:rPr>
        <w:rFonts w:ascii="Cambria" w:hAnsi="Cambria"/>
        <w:sz w:val="24"/>
        <w:szCs w:val="26"/>
      </w:rPr>
      <w:br/>
      <w:t>December 12</w:t>
    </w:r>
    <w:r w:rsidRPr="008D5FFB">
      <w:rPr>
        <w:rFonts w:ascii="Cambria" w:hAnsi="Cambria"/>
        <w:sz w:val="24"/>
        <w:szCs w:val="26"/>
      </w:rPr>
      <w:t>, 2014</w:t>
    </w:r>
    <w:r>
      <w:rPr>
        <w:rFonts w:ascii="Cambria" w:hAnsi="Cambria"/>
        <w:sz w:val="28"/>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B23"/>
    <w:multiLevelType w:val="hybridMultilevel"/>
    <w:tmpl w:val="4CEE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F82189"/>
    <w:multiLevelType w:val="hybridMultilevel"/>
    <w:tmpl w:val="62EC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06F26"/>
    <w:multiLevelType w:val="hybridMultilevel"/>
    <w:tmpl w:val="6E7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A269F"/>
    <w:multiLevelType w:val="hybridMultilevel"/>
    <w:tmpl w:val="8E0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90BF3"/>
    <w:multiLevelType w:val="hybridMultilevel"/>
    <w:tmpl w:val="0BC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0344A"/>
    <w:multiLevelType w:val="hybridMultilevel"/>
    <w:tmpl w:val="6916DE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nsid w:val="2F2B2FFD"/>
    <w:multiLevelType w:val="hybridMultilevel"/>
    <w:tmpl w:val="931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93890"/>
    <w:multiLevelType w:val="hybridMultilevel"/>
    <w:tmpl w:val="5E7E6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B1017E"/>
    <w:multiLevelType w:val="hybridMultilevel"/>
    <w:tmpl w:val="CD142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5817D8"/>
    <w:multiLevelType w:val="hybridMultilevel"/>
    <w:tmpl w:val="221E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A4038E"/>
    <w:multiLevelType w:val="hybridMultilevel"/>
    <w:tmpl w:val="13FE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171B1"/>
    <w:multiLevelType w:val="hybridMultilevel"/>
    <w:tmpl w:val="BF467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54177C3"/>
    <w:multiLevelType w:val="hybridMultilevel"/>
    <w:tmpl w:val="65A0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66601"/>
    <w:multiLevelType w:val="hybridMultilevel"/>
    <w:tmpl w:val="63EA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5732E56"/>
    <w:multiLevelType w:val="hybridMultilevel"/>
    <w:tmpl w:val="B3D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111B4"/>
    <w:multiLevelType w:val="hybridMultilevel"/>
    <w:tmpl w:val="6D28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215D6"/>
    <w:multiLevelType w:val="hybridMultilevel"/>
    <w:tmpl w:val="69F08244"/>
    <w:lvl w:ilvl="0" w:tplc="CE787AA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7B3610FA"/>
    <w:multiLevelType w:val="hybridMultilevel"/>
    <w:tmpl w:val="E7A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2"/>
  </w:num>
  <w:num w:numId="5">
    <w:abstractNumId w:val="15"/>
  </w:num>
  <w:num w:numId="6">
    <w:abstractNumId w:val="0"/>
  </w:num>
  <w:num w:numId="7">
    <w:abstractNumId w:val="6"/>
  </w:num>
  <w:num w:numId="8">
    <w:abstractNumId w:val="5"/>
  </w:num>
  <w:num w:numId="9">
    <w:abstractNumId w:val="14"/>
  </w:num>
  <w:num w:numId="10">
    <w:abstractNumId w:val="4"/>
  </w:num>
  <w:num w:numId="11">
    <w:abstractNumId w:val="3"/>
  </w:num>
  <w:num w:numId="12">
    <w:abstractNumId w:val="1"/>
  </w:num>
  <w:num w:numId="13">
    <w:abstractNumId w:val="16"/>
  </w:num>
  <w:num w:numId="14">
    <w:abstractNumId w:val="17"/>
  </w:num>
  <w:num w:numId="15">
    <w:abstractNumId w:val="10"/>
  </w:num>
  <w:num w:numId="16">
    <w:abstractNumId w:val="11"/>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8D"/>
    <w:rsid w:val="00004745"/>
    <w:rsid w:val="00025ABE"/>
    <w:rsid w:val="00041E28"/>
    <w:rsid w:val="00047A33"/>
    <w:rsid w:val="0005439A"/>
    <w:rsid w:val="000617EE"/>
    <w:rsid w:val="00071AE8"/>
    <w:rsid w:val="000748E9"/>
    <w:rsid w:val="0007685A"/>
    <w:rsid w:val="000B08B9"/>
    <w:rsid w:val="000B7204"/>
    <w:rsid w:val="000D25D0"/>
    <w:rsid w:val="000D5623"/>
    <w:rsid w:val="000F07B1"/>
    <w:rsid w:val="0011597A"/>
    <w:rsid w:val="0011726F"/>
    <w:rsid w:val="00122599"/>
    <w:rsid w:val="00166E8D"/>
    <w:rsid w:val="001B2EB2"/>
    <w:rsid w:val="001E12E1"/>
    <w:rsid w:val="0021261E"/>
    <w:rsid w:val="00213E89"/>
    <w:rsid w:val="002B04B9"/>
    <w:rsid w:val="0030216C"/>
    <w:rsid w:val="003054DA"/>
    <w:rsid w:val="00313059"/>
    <w:rsid w:val="00313C6E"/>
    <w:rsid w:val="003518C5"/>
    <w:rsid w:val="003662A5"/>
    <w:rsid w:val="0036637D"/>
    <w:rsid w:val="00371897"/>
    <w:rsid w:val="003A1C08"/>
    <w:rsid w:val="003A3ADD"/>
    <w:rsid w:val="003D7A26"/>
    <w:rsid w:val="00424173"/>
    <w:rsid w:val="004733DE"/>
    <w:rsid w:val="0047432F"/>
    <w:rsid w:val="00482205"/>
    <w:rsid w:val="004836B4"/>
    <w:rsid w:val="005A2A6D"/>
    <w:rsid w:val="00673E63"/>
    <w:rsid w:val="00685E55"/>
    <w:rsid w:val="006A16FF"/>
    <w:rsid w:val="006C1FCF"/>
    <w:rsid w:val="006F3155"/>
    <w:rsid w:val="00706816"/>
    <w:rsid w:val="007267A7"/>
    <w:rsid w:val="007A364F"/>
    <w:rsid w:val="007B22FA"/>
    <w:rsid w:val="00837FBC"/>
    <w:rsid w:val="00862B61"/>
    <w:rsid w:val="00874345"/>
    <w:rsid w:val="00896C1C"/>
    <w:rsid w:val="008A1F3E"/>
    <w:rsid w:val="008B4673"/>
    <w:rsid w:val="008D5FFB"/>
    <w:rsid w:val="0095528A"/>
    <w:rsid w:val="00957076"/>
    <w:rsid w:val="00965E12"/>
    <w:rsid w:val="009729E3"/>
    <w:rsid w:val="009B7DD2"/>
    <w:rsid w:val="009C4EBE"/>
    <w:rsid w:val="00A02B8D"/>
    <w:rsid w:val="00A058BE"/>
    <w:rsid w:val="00A9651E"/>
    <w:rsid w:val="00AA1793"/>
    <w:rsid w:val="00AA1AB1"/>
    <w:rsid w:val="00AA3CDF"/>
    <w:rsid w:val="00AC145A"/>
    <w:rsid w:val="00AC4C62"/>
    <w:rsid w:val="00AF2218"/>
    <w:rsid w:val="00B04159"/>
    <w:rsid w:val="00B06AE6"/>
    <w:rsid w:val="00B25E5E"/>
    <w:rsid w:val="00B86738"/>
    <w:rsid w:val="00B91E95"/>
    <w:rsid w:val="00BB73F7"/>
    <w:rsid w:val="00BC433C"/>
    <w:rsid w:val="00BD2754"/>
    <w:rsid w:val="00BE77BA"/>
    <w:rsid w:val="00C84F87"/>
    <w:rsid w:val="00CD1721"/>
    <w:rsid w:val="00CF6DDE"/>
    <w:rsid w:val="00D476EA"/>
    <w:rsid w:val="00D4798B"/>
    <w:rsid w:val="00D83426"/>
    <w:rsid w:val="00D92F33"/>
    <w:rsid w:val="00DA0E67"/>
    <w:rsid w:val="00DB377E"/>
    <w:rsid w:val="00DE17C8"/>
    <w:rsid w:val="00E34F8C"/>
    <w:rsid w:val="00E901E7"/>
    <w:rsid w:val="00EF5837"/>
    <w:rsid w:val="00F143DD"/>
    <w:rsid w:val="00F20F03"/>
    <w:rsid w:val="00F43118"/>
    <w:rsid w:val="00F6314F"/>
    <w:rsid w:val="00F634AC"/>
    <w:rsid w:val="00F64782"/>
    <w:rsid w:val="00F86E37"/>
    <w:rsid w:val="00FB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B8D"/>
    <w:rPr>
      <w:color w:val="0000FF"/>
      <w:u w:val="single"/>
    </w:rPr>
  </w:style>
  <w:style w:type="paragraph" w:styleId="ListParagraph">
    <w:name w:val="List Paragraph"/>
    <w:basedOn w:val="Normal"/>
    <w:uiPriority w:val="34"/>
    <w:qFormat/>
    <w:rsid w:val="00A02B8D"/>
    <w:pPr>
      <w:ind w:left="720"/>
      <w:contextualSpacing/>
    </w:pPr>
  </w:style>
  <w:style w:type="paragraph" w:styleId="Header">
    <w:name w:val="header"/>
    <w:basedOn w:val="Normal"/>
    <w:link w:val="HeaderChar"/>
    <w:uiPriority w:val="99"/>
    <w:unhideWhenUsed/>
    <w:rsid w:val="00A0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8D"/>
  </w:style>
  <w:style w:type="paragraph" w:styleId="Footer">
    <w:name w:val="footer"/>
    <w:basedOn w:val="Normal"/>
    <w:link w:val="FooterChar"/>
    <w:uiPriority w:val="99"/>
    <w:unhideWhenUsed/>
    <w:rsid w:val="00A0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8D"/>
  </w:style>
  <w:style w:type="character" w:styleId="FollowedHyperlink">
    <w:name w:val="FollowedHyperlink"/>
    <w:basedOn w:val="DefaultParagraphFont"/>
    <w:uiPriority w:val="99"/>
    <w:semiHidden/>
    <w:unhideWhenUsed/>
    <w:rsid w:val="00B25E5E"/>
    <w:rPr>
      <w:color w:val="800080" w:themeColor="followedHyperlink"/>
      <w:u w:val="single"/>
    </w:rPr>
  </w:style>
  <w:style w:type="paragraph" w:styleId="BalloonText">
    <w:name w:val="Balloon Text"/>
    <w:basedOn w:val="Normal"/>
    <w:link w:val="BalloonTextChar"/>
    <w:uiPriority w:val="99"/>
    <w:semiHidden/>
    <w:unhideWhenUsed/>
    <w:rsid w:val="00AA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DF"/>
    <w:rPr>
      <w:rFonts w:ascii="Tahoma" w:hAnsi="Tahoma" w:cs="Tahoma"/>
      <w:sz w:val="16"/>
      <w:szCs w:val="16"/>
    </w:rPr>
  </w:style>
  <w:style w:type="character" w:styleId="CommentReference">
    <w:name w:val="annotation reference"/>
    <w:basedOn w:val="DefaultParagraphFont"/>
    <w:uiPriority w:val="99"/>
    <w:semiHidden/>
    <w:unhideWhenUsed/>
    <w:rsid w:val="00957076"/>
    <w:rPr>
      <w:sz w:val="16"/>
      <w:szCs w:val="16"/>
    </w:rPr>
  </w:style>
  <w:style w:type="paragraph" w:styleId="CommentText">
    <w:name w:val="annotation text"/>
    <w:basedOn w:val="Normal"/>
    <w:link w:val="CommentTextChar"/>
    <w:uiPriority w:val="99"/>
    <w:semiHidden/>
    <w:unhideWhenUsed/>
    <w:rsid w:val="00957076"/>
    <w:pPr>
      <w:spacing w:line="240" w:lineRule="auto"/>
    </w:pPr>
    <w:rPr>
      <w:sz w:val="20"/>
      <w:szCs w:val="20"/>
    </w:rPr>
  </w:style>
  <w:style w:type="character" w:customStyle="1" w:styleId="CommentTextChar">
    <w:name w:val="Comment Text Char"/>
    <w:basedOn w:val="DefaultParagraphFont"/>
    <w:link w:val="CommentText"/>
    <w:uiPriority w:val="99"/>
    <w:semiHidden/>
    <w:rsid w:val="00957076"/>
    <w:rPr>
      <w:sz w:val="20"/>
      <w:szCs w:val="20"/>
    </w:rPr>
  </w:style>
  <w:style w:type="paragraph" w:styleId="CommentSubject">
    <w:name w:val="annotation subject"/>
    <w:basedOn w:val="CommentText"/>
    <w:next w:val="CommentText"/>
    <w:link w:val="CommentSubjectChar"/>
    <w:uiPriority w:val="99"/>
    <w:semiHidden/>
    <w:unhideWhenUsed/>
    <w:rsid w:val="00957076"/>
    <w:rPr>
      <w:b/>
      <w:bCs/>
    </w:rPr>
  </w:style>
  <w:style w:type="character" w:customStyle="1" w:styleId="CommentSubjectChar">
    <w:name w:val="Comment Subject Char"/>
    <w:basedOn w:val="CommentTextChar"/>
    <w:link w:val="CommentSubject"/>
    <w:uiPriority w:val="99"/>
    <w:semiHidden/>
    <w:rsid w:val="00957076"/>
    <w:rPr>
      <w:b/>
      <w:bCs/>
      <w:sz w:val="20"/>
      <w:szCs w:val="20"/>
    </w:rPr>
  </w:style>
  <w:style w:type="table" w:styleId="LightList-Accent6">
    <w:name w:val="Light List Accent 6"/>
    <w:basedOn w:val="TableNormal"/>
    <w:uiPriority w:val="61"/>
    <w:rsid w:val="00213E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213E8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213E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B8D"/>
    <w:rPr>
      <w:color w:val="0000FF"/>
      <w:u w:val="single"/>
    </w:rPr>
  </w:style>
  <w:style w:type="paragraph" w:styleId="ListParagraph">
    <w:name w:val="List Paragraph"/>
    <w:basedOn w:val="Normal"/>
    <w:uiPriority w:val="34"/>
    <w:qFormat/>
    <w:rsid w:val="00A02B8D"/>
    <w:pPr>
      <w:ind w:left="720"/>
      <w:contextualSpacing/>
    </w:pPr>
  </w:style>
  <w:style w:type="paragraph" w:styleId="Header">
    <w:name w:val="header"/>
    <w:basedOn w:val="Normal"/>
    <w:link w:val="HeaderChar"/>
    <w:uiPriority w:val="99"/>
    <w:unhideWhenUsed/>
    <w:rsid w:val="00A0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8D"/>
  </w:style>
  <w:style w:type="paragraph" w:styleId="Footer">
    <w:name w:val="footer"/>
    <w:basedOn w:val="Normal"/>
    <w:link w:val="FooterChar"/>
    <w:uiPriority w:val="99"/>
    <w:unhideWhenUsed/>
    <w:rsid w:val="00A0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8D"/>
  </w:style>
  <w:style w:type="character" w:styleId="FollowedHyperlink">
    <w:name w:val="FollowedHyperlink"/>
    <w:basedOn w:val="DefaultParagraphFont"/>
    <w:uiPriority w:val="99"/>
    <w:semiHidden/>
    <w:unhideWhenUsed/>
    <w:rsid w:val="00B25E5E"/>
    <w:rPr>
      <w:color w:val="800080" w:themeColor="followedHyperlink"/>
      <w:u w:val="single"/>
    </w:rPr>
  </w:style>
  <w:style w:type="paragraph" w:styleId="BalloonText">
    <w:name w:val="Balloon Text"/>
    <w:basedOn w:val="Normal"/>
    <w:link w:val="BalloonTextChar"/>
    <w:uiPriority w:val="99"/>
    <w:semiHidden/>
    <w:unhideWhenUsed/>
    <w:rsid w:val="00AA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DF"/>
    <w:rPr>
      <w:rFonts w:ascii="Tahoma" w:hAnsi="Tahoma" w:cs="Tahoma"/>
      <w:sz w:val="16"/>
      <w:szCs w:val="16"/>
    </w:rPr>
  </w:style>
  <w:style w:type="character" w:styleId="CommentReference">
    <w:name w:val="annotation reference"/>
    <w:basedOn w:val="DefaultParagraphFont"/>
    <w:uiPriority w:val="99"/>
    <w:semiHidden/>
    <w:unhideWhenUsed/>
    <w:rsid w:val="00957076"/>
    <w:rPr>
      <w:sz w:val="16"/>
      <w:szCs w:val="16"/>
    </w:rPr>
  </w:style>
  <w:style w:type="paragraph" w:styleId="CommentText">
    <w:name w:val="annotation text"/>
    <w:basedOn w:val="Normal"/>
    <w:link w:val="CommentTextChar"/>
    <w:uiPriority w:val="99"/>
    <w:semiHidden/>
    <w:unhideWhenUsed/>
    <w:rsid w:val="00957076"/>
    <w:pPr>
      <w:spacing w:line="240" w:lineRule="auto"/>
    </w:pPr>
    <w:rPr>
      <w:sz w:val="20"/>
      <w:szCs w:val="20"/>
    </w:rPr>
  </w:style>
  <w:style w:type="character" w:customStyle="1" w:styleId="CommentTextChar">
    <w:name w:val="Comment Text Char"/>
    <w:basedOn w:val="DefaultParagraphFont"/>
    <w:link w:val="CommentText"/>
    <w:uiPriority w:val="99"/>
    <w:semiHidden/>
    <w:rsid w:val="00957076"/>
    <w:rPr>
      <w:sz w:val="20"/>
      <w:szCs w:val="20"/>
    </w:rPr>
  </w:style>
  <w:style w:type="paragraph" w:styleId="CommentSubject">
    <w:name w:val="annotation subject"/>
    <w:basedOn w:val="CommentText"/>
    <w:next w:val="CommentText"/>
    <w:link w:val="CommentSubjectChar"/>
    <w:uiPriority w:val="99"/>
    <w:semiHidden/>
    <w:unhideWhenUsed/>
    <w:rsid w:val="00957076"/>
    <w:rPr>
      <w:b/>
      <w:bCs/>
    </w:rPr>
  </w:style>
  <w:style w:type="character" w:customStyle="1" w:styleId="CommentSubjectChar">
    <w:name w:val="Comment Subject Char"/>
    <w:basedOn w:val="CommentTextChar"/>
    <w:link w:val="CommentSubject"/>
    <w:uiPriority w:val="99"/>
    <w:semiHidden/>
    <w:rsid w:val="00957076"/>
    <w:rPr>
      <w:b/>
      <w:bCs/>
      <w:sz w:val="20"/>
      <w:szCs w:val="20"/>
    </w:rPr>
  </w:style>
  <w:style w:type="table" w:styleId="LightList-Accent6">
    <w:name w:val="Light List Accent 6"/>
    <w:basedOn w:val="TableNormal"/>
    <w:uiPriority w:val="61"/>
    <w:rsid w:val="00213E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213E8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213E8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5524">
      <w:bodyDiv w:val="1"/>
      <w:marLeft w:val="0"/>
      <w:marRight w:val="0"/>
      <w:marTop w:val="0"/>
      <w:marBottom w:val="0"/>
      <w:divBdr>
        <w:top w:val="none" w:sz="0" w:space="0" w:color="auto"/>
        <w:left w:val="none" w:sz="0" w:space="0" w:color="auto"/>
        <w:bottom w:val="none" w:sz="0" w:space="0" w:color="auto"/>
        <w:right w:val="none" w:sz="0" w:space="0" w:color="auto"/>
      </w:divBdr>
    </w:div>
    <w:div w:id="9951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a.alaska.edu/governance/academic_assessment_committ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aa.alaska.edu/undergraduate-academic-affairs/academic-policy/apac/index.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a.alaska.edu/academicaffairs/academic-dispute-resolution-process-review-task-force.cfm" TargetMode="External"/><Relationship Id="rId5" Type="http://schemas.openxmlformats.org/officeDocument/2006/relationships/settings" Target="settings.xml"/><Relationship Id="rId15" Type="http://schemas.openxmlformats.org/officeDocument/2006/relationships/hyperlink" Target="http://www.uaa.alaska.edu/undergraduate-academic-affairs/program-accreditation.cfm" TargetMode="External"/><Relationship Id="rId10" Type="http://schemas.openxmlformats.org/officeDocument/2006/relationships/hyperlink" Target="http://www.uaa.alaska.edu/academicaffairs/policy-procedures.cfm" TargetMode="External"/><Relationship Id="rId4" Type="http://schemas.microsoft.com/office/2007/relationships/stylesWithEffects" Target="stylesWithEffects.xml"/><Relationship Id="rId9" Type="http://schemas.openxmlformats.org/officeDocument/2006/relationships/hyperlink" Target="http://www.uaa.alaska.edu/undergraduate-academic-affairs" TargetMode="External"/><Relationship Id="rId14" Type="http://schemas.openxmlformats.org/officeDocument/2006/relationships/hyperlink" Target="http://www.uaa.alaska.edu/undergraduate-academic-affairs/Accreditation/index.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969B-9100-4169-9523-B7B8832B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Kalina</dc:creator>
  <cp:lastModifiedBy>Susan M Kalina</cp:lastModifiedBy>
  <cp:revision>4</cp:revision>
  <cp:lastPrinted>2014-09-25T21:53:00Z</cp:lastPrinted>
  <dcterms:created xsi:type="dcterms:W3CDTF">2014-12-12T19:48:00Z</dcterms:created>
  <dcterms:modified xsi:type="dcterms:W3CDTF">2014-12-12T19:54:00Z</dcterms:modified>
</cp:coreProperties>
</file>