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7A" w:rsidRDefault="0011597A" w:rsidP="00AA3CDF">
      <w:pPr>
        <w:rPr>
          <w:rFonts w:ascii="Cambria" w:hAnsi="Cambria" w:cs="Times New Roman"/>
          <w:b/>
          <w:sz w:val="28"/>
        </w:rPr>
      </w:pPr>
    </w:p>
    <w:p w:rsidR="009729E3" w:rsidRPr="00BD3F5B" w:rsidRDefault="009729E3" w:rsidP="00BE77BA">
      <w:pPr>
        <w:shd w:val="clear" w:color="auto" w:fill="D6E3BC" w:themeFill="accent3" w:themeFillTint="66"/>
        <w:ind w:right="720"/>
        <w:rPr>
          <w:rFonts w:ascii="Cambria" w:hAnsi="Cambria" w:cs="Times New Roman"/>
          <w:b/>
          <w:sz w:val="28"/>
        </w:rPr>
      </w:pPr>
      <w:r w:rsidRPr="00BD3F5B">
        <w:rPr>
          <w:rFonts w:ascii="Cambria" w:hAnsi="Cambria" w:cs="Times New Roman"/>
          <w:b/>
          <w:sz w:val="28"/>
        </w:rPr>
        <w:t>Undergraduate Academic Affairs</w:t>
      </w:r>
    </w:p>
    <w:p w:rsidR="009729E3" w:rsidRDefault="009729E3" w:rsidP="003054DA">
      <w:pPr>
        <w:pStyle w:val="ListParagraph"/>
        <w:numPr>
          <w:ilvl w:val="0"/>
          <w:numId w:val="18"/>
        </w:numPr>
        <w:spacing w:after="160" w:line="259" w:lineRule="auto"/>
        <w:ind w:right="720"/>
        <w:rPr>
          <w:rFonts w:ascii="Cambria" w:hAnsi="Cambria" w:cs="Times New Roman"/>
        </w:rPr>
      </w:pPr>
      <w:r>
        <w:rPr>
          <w:rFonts w:ascii="Cambria" w:hAnsi="Cambria" w:cs="Times New Roman"/>
        </w:rPr>
        <w:t>The Office of Undergraduate Academic Affairs (OUAA) is pleased to announce our newly developed website. The website includes information about areas such as institutional and program accreditation, academic assessment, academic policy, and academic program development. In addition, the website will feature news related to undergraduate education and programs and information on upcoming academic initiatives and opportunities for development and collaboration.</w:t>
      </w:r>
    </w:p>
    <w:p w:rsidR="009729E3" w:rsidRPr="009729E3" w:rsidRDefault="00BE77BA" w:rsidP="003054DA">
      <w:pPr>
        <w:ind w:left="720" w:right="720" w:firstLine="360"/>
        <w:rPr>
          <w:rFonts w:ascii="Cambria" w:hAnsi="Cambria" w:cs="Times New Roman"/>
        </w:rPr>
      </w:pPr>
      <w:hyperlink r:id="rId8" w:history="1">
        <w:r w:rsidR="009729E3" w:rsidRPr="00AA6A0D">
          <w:rPr>
            <w:rStyle w:val="Hyperlink"/>
            <w:rFonts w:ascii="Cambria" w:hAnsi="Cambria" w:cs="Times New Roman"/>
          </w:rPr>
          <w:t>http://www.uaa.alaska.edu/undergraduate-academic-affairs</w:t>
        </w:r>
      </w:hyperlink>
    </w:p>
    <w:p w:rsidR="009729E3" w:rsidRPr="00BD3F5B" w:rsidRDefault="009729E3" w:rsidP="00BE77BA">
      <w:pPr>
        <w:shd w:val="clear" w:color="auto" w:fill="D6E3BC" w:themeFill="accent3" w:themeFillTint="66"/>
        <w:tabs>
          <w:tab w:val="center" w:pos="4680"/>
        </w:tabs>
        <w:ind w:right="720"/>
        <w:rPr>
          <w:rFonts w:ascii="Cambria" w:hAnsi="Cambria" w:cs="Times New Roman"/>
          <w:b/>
          <w:sz w:val="28"/>
        </w:rPr>
      </w:pPr>
      <w:r w:rsidRPr="00BD3F5B">
        <w:rPr>
          <w:rFonts w:ascii="Cambria" w:hAnsi="Cambria" w:cs="Times New Roman"/>
          <w:b/>
          <w:sz w:val="28"/>
        </w:rPr>
        <w:t>Academic Policy</w:t>
      </w:r>
      <w:r w:rsidR="00BE77BA">
        <w:rPr>
          <w:rFonts w:ascii="Cambria" w:hAnsi="Cambria" w:cs="Times New Roman"/>
          <w:b/>
          <w:sz w:val="28"/>
        </w:rPr>
        <w:tab/>
      </w:r>
    </w:p>
    <w:p w:rsidR="009729E3" w:rsidRDefault="009729E3" w:rsidP="009729E3">
      <w:pPr>
        <w:pStyle w:val="ListParagraph"/>
        <w:numPr>
          <w:ilvl w:val="0"/>
          <w:numId w:val="17"/>
        </w:numPr>
        <w:spacing w:after="160" w:line="259" w:lineRule="auto"/>
        <w:ind w:left="1080" w:right="720"/>
        <w:rPr>
          <w:rFonts w:ascii="Cambria" w:hAnsi="Cambria" w:cs="Times New Roman"/>
        </w:rPr>
      </w:pPr>
      <w:r>
        <w:rPr>
          <w:rFonts w:ascii="Cambria" w:hAnsi="Cambria" w:cs="Times New Roman"/>
        </w:rPr>
        <w:t xml:space="preserve">The Academic Affairs website now includes a section for academic affairs related policies and procedures. This website features an A-Z list of academic affairs related policies such as policies related to curriculum and faculty services. The website is currently live and will continue to be added to in the coming weeks. </w:t>
      </w:r>
    </w:p>
    <w:p w:rsidR="009729E3" w:rsidRDefault="009729E3" w:rsidP="009729E3">
      <w:pPr>
        <w:pStyle w:val="ListParagraph"/>
        <w:ind w:left="1080" w:right="720"/>
        <w:rPr>
          <w:rFonts w:ascii="Cambria" w:hAnsi="Cambria" w:cs="Times New Roman"/>
        </w:rPr>
      </w:pPr>
    </w:p>
    <w:p w:rsidR="009729E3" w:rsidRDefault="00BE77BA" w:rsidP="009729E3">
      <w:pPr>
        <w:pStyle w:val="ListParagraph"/>
        <w:ind w:left="1080" w:right="720"/>
        <w:rPr>
          <w:rFonts w:ascii="Cambria" w:hAnsi="Cambria" w:cs="Times New Roman"/>
        </w:rPr>
      </w:pPr>
      <w:hyperlink r:id="rId9" w:history="1">
        <w:r w:rsidR="009729E3" w:rsidRPr="00EE5673">
          <w:rPr>
            <w:rStyle w:val="Hyperlink"/>
            <w:rFonts w:ascii="Cambria" w:hAnsi="Cambria" w:cs="Times New Roman"/>
          </w:rPr>
          <w:t>http://www.uaa.alaska.edu/academicaffairs/policy-procedures.cfm</w:t>
        </w:r>
      </w:hyperlink>
      <w:r w:rsidR="009729E3">
        <w:rPr>
          <w:rFonts w:ascii="Cambria" w:hAnsi="Cambria" w:cs="Times New Roman"/>
        </w:rPr>
        <w:t xml:space="preserve"> </w:t>
      </w:r>
    </w:p>
    <w:p w:rsidR="009729E3" w:rsidRPr="00BD3F5B" w:rsidRDefault="009729E3" w:rsidP="00BE77BA">
      <w:pPr>
        <w:shd w:val="clear" w:color="auto" w:fill="D6E3BC" w:themeFill="accent3" w:themeFillTint="66"/>
        <w:ind w:right="720"/>
        <w:rPr>
          <w:rFonts w:ascii="Cambria" w:hAnsi="Cambria" w:cs="Times New Roman"/>
          <w:b/>
          <w:sz w:val="28"/>
        </w:rPr>
      </w:pPr>
      <w:r w:rsidRPr="00BD3F5B">
        <w:rPr>
          <w:rFonts w:ascii="Cambria" w:hAnsi="Cambria" w:cs="Times New Roman"/>
          <w:b/>
          <w:sz w:val="28"/>
        </w:rPr>
        <w:t>Academic Assessment</w:t>
      </w:r>
    </w:p>
    <w:p w:rsidR="009729E3" w:rsidRDefault="009729E3" w:rsidP="009729E3">
      <w:pPr>
        <w:pStyle w:val="ListParagraph"/>
        <w:numPr>
          <w:ilvl w:val="0"/>
          <w:numId w:val="17"/>
        </w:numPr>
        <w:spacing w:after="160" w:line="259" w:lineRule="auto"/>
        <w:ind w:left="1080" w:right="720"/>
        <w:rPr>
          <w:rFonts w:ascii="Cambria" w:hAnsi="Cambria" w:cs="Times New Roman"/>
        </w:rPr>
      </w:pPr>
      <w:r>
        <w:rPr>
          <w:rFonts w:ascii="Cambria" w:hAnsi="Cambria" w:cs="Times New Roman"/>
        </w:rPr>
        <w:t>You’re invited to attend the 2</w:t>
      </w:r>
      <w:r w:rsidRPr="00C94CAF">
        <w:rPr>
          <w:rFonts w:ascii="Cambria" w:hAnsi="Cambria" w:cs="Times New Roman"/>
          <w:vertAlign w:val="superscript"/>
        </w:rPr>
        <w:t>nd</w:t>
      </w:r>
      <w:r>
        <w:rPr>
          <w:rFonts w:ascii="Cambria" w:hAnsi="Cambria" w:cs="Times New Roman"/>
        </w:rPr>
        <w:t xml:space="preserve"> Annual Academic Assessment Seminar</w:t>
      </w:r>
      <w:r>
        <w:rPr>
          <w:rFonts w:ascii="Cambria" w:hAnsi="Cambria" w:cs="Times New Roman"/>
        </w:rPr>
        <w:br/>
      </w:r>
      <w:r w:rsidRPr="001F18D8">
        <w:rPr>
          <w:rFonts w:ascii="Cambria" w:hAnsi="Cambria" w:cs="Times New Roman"/>
        </w:rPr>
        <w:t>Friday, September 12, 2014</w:t>
      </w:r>
      <w:r w:rsidRPr="001F18D8">
        <w:rPr>
          <w:rFonts w:ascii="Cambria" w:hAnsi="Cambria" w:cs="Times New Roman"/>
        </w:rPr>
        <w:br/>
      </w:r>
      <w:r>
        <w:rPr>
          <w:rFonts w:ascii="Cambria" w:hAnsi="Cambria" w:cs="Times New Roman"/>
        </w:rPr>
        <w:t>Consortium Library Room 307</w:t>
      </w:r>
    </w:p>
    <w:p w:rsidR="009729E3" w:rsidRPr="009729E3" w:rsidRDefault="009729E3" w:rsidP="009729E3">
      <w:pPr>
        <w:pStyle w:val="ListParagraph"/>
        <w:spacing w:after="160" w:line="259" w:lineRule="auto"/>
        <w:ind w:left="1080" w:right="720"/>
        <w:rPr>
          <w:rFonts w:ascii="Cambria" w:hAnsi="Cambria" w:cs="Times New Roman"/>
        </w:rPr>
      </w:pPr>
    </w:p>
    <w:p w:rsidR="009729E3" w:rsidRPr="009729E3" w:rsidRDefault="009729E3" w:rsidP="009729E3">
      <w:pPr>
        <w:pStyle w:val="ListParagraph"/>
        <w:ind w:left="1080" w:right="720"/>
        <w:rPr>
          <w:rFonts w:ascii="Cambria" w:hAnsi="Cambria" w:cs="Times New Roman"/>
        </w:rPr>
      </w:pPr>
      <w:r>
        <w:rPr>
          <w:rFonts w:ascii="Cambria" w:hAnsi="Cambria" w:cs="Times New Roman"/>
        </w:rPr>
        <w:t xml:space="preserve">Visit the Academic Assessment Committee’s website for more information and to register: </w:t>
      </w:r>
      <w:hyperlink r:id="rId10" w:history="1">
        <w:r w:rsidRPr="007E389C">
          <w:rPr>
            <w:rStyle w:val="Hyperlink"/>
            <w:rFonts w:ascii="Cambria" w:hAnsi="Cambria" w:cs="Times New Roman"/>
          </w:rPr>
          <w:t>http://www.uaa.alaska.edu/governance/academic_assessment_committee/2014-assessment-seminar/index.cfm</w:t>
        </w:r>
      </w:hyperlink>
      <w:r>
        <w:rPr>
          <w:rFonts w:ascii="Cambria" w:hAnsi="Cambria" w:cs="Times New Roman"/>
        </w:rPr>
        <w:t xml:space="preserve"> </w:t>
      </w:r>
    </w:p>
    <w:p w:rsidR="009729E3" w:rsidRDefault="009729E3" w:rsidP="00122599">
      <w:pPr>
        <w:spacing w:after="0" w:line="240" w:lineRule="auto"/>
        <w:rPr>
          <w:rFonts w:cstheme="minorHAnsi"/>
          <w:b/>
          <w:sz w:val="24"/>
          <w:szCs w:val="24"/>
        </w:rPr>
      </w:pPr>
    </w:p>
    <w:p w:rsidR="009729E3" w:rsidRPr="00BD3F5B" w:rsidRDefault="009729E3" w:rsidP="00BE77BA">
      <w:pPr>
        <w:shd w:val="clear" w:color="auto" w:fill="D6E3BC" w:themeFill="accent3" w:themeFillTint="66"/>
        <w:ind w:right="720"/>
        <w:rPr>
          <w:rFonts w:ascii="Cambria" w:hAnsi="Cambria" w:cs="Times New Roman"/>
          <w:b/>
          <w:sz w:val="28"/>
        </w:rPr>
      </w:pPr>
      <w:r>
        <w:rPr>
          <w:rFonts w:ascii="Cambria" w:hAnsi="Cambria" w:cs="Times New Roman"/>
          <w:b/>
          <w:sz w:val="28"/>
        </w:rPr>
        <w:t>Program Approval Status</w:t>
      </w:r>
    </w:p>
    <w:p w:rsidR="00A02B8D" w:rsidRPr="00AC145A" w:rsidRDefault="00A02B8D" w:rsidP="00A02B8D">
      <w:pPr>
        <w:spacing w:after="0" w:line="240" w:lineRule="auto"/>
        <w:rPr>
          <w:rFonts w:cstheme="minorHAnsi"/>
          <w:b/>
          <w:sz w:val="24"/>
          <w:szCs w:val="24"/>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552"/>
        <w:gridCol w:w="834"/>
        <w:gridCol w:w="808"/>
        <w:gridCol w:w="2009"/>
        <w:gridCol w:w="1091"/>
        <w:gridCol w:w="1258"/>
      </w:tblGrid>
      <w:tr w:rsidR="00B06AE6" w:rsidRPr="00DB377E" w:rsidTr="00B06AE6">
        <w:trPr>
          <w:cantSplit/>
          <w:trHeight w:val="512"/>
          <w:tblHeader/>
          <w:jc w:val="center"/>
        </w:trPr>
        <w:tc>
          <w:tcPr>
            <w:tcW w:w="1228" w:type="dxa"/>
            <w:shd w:val="clear" w:color="000000" w:fill="D9D9D9"/>
            <w:vAlign w:val="center"/>
            <w:hideMark/>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Unit</w:t>
            </w:r>
          </w:p>
        </w:tc>
        <w:tc>
          <w:tcPr>
            <w:tcW w:w="2583" w:type="dxa"/>
            <w:shd w:val="clear" w:color="000000" w:fill="D9D9D9"/>
            <w:vAlign w:val="center"/>
            <w:hideMark/>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Program</w:t>
            </w:r>
          </w:p>
        </w:tc>
        <w:tc>
          <w:tcPr>
            <w:tcW w:w="837" w:type="dxa"/>
            <w:shd w:val="clear" w:color="000000" w:fill="D9D9D9"/>
            <w:vAlign w:val="center"/>
            <w:hideMark/>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Level</w:t>
            </w:r>
          </w:p>
        </w:tc>
        <w:tc>
          <w:tcPr>
            <w:tcW w:w="810" w:type="dxa"/>
            <w:shd w:val="clear" w:color="000000" w:fill="D9D9D9"/>
            <w:vAlign w:val="center"/>
            <w:hideMark/>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Type</w:t>
            </w:r>
          </w:p>
        </w:tc>
        <w:tc>
          <w:tcPr>
            <w:tcW w:w="2041" w:type="dxa"/>
            <w:shd w:val="clear" w:color="000000" w:fill="D9D9D9"/>
            <w:vAlign w:val="center"/>
            <w:hideMark/>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Status</w:t>
            </w:r>
          </w:p>
        </w:tc>
        <w:tc>
          <w:tcPr>
            <w:tcW w:w="1014" w:type="dxa"/>
            <w:shd w:val="clear" w:color="000000" w:fill="D9D9D9"/>
            <w:vAlign w:val="center"/>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BOR</w:t>
            </w:r>
            <w:r w:rsidRPr="00DB377E">
              <w:rPr>
                <w:rFonts w:ascii="Times New Roman" w:eastAsia="Times New Roman" w:hAnsi="Times New Roman" w:cs="Times New Roman"/>
                <w:b/>
                <w:bCs/>
                <w:sz w:val="21"/>
                <w:szCs w:val="21"/>
              </w:rPr>
              <w:t xml:space="preserve"> Approval</w:t>
            </w:r>
          </w:p>
        </w:tc>
        <w:tc>
          <w:tcPr>
            <w:tcW w:w="1265" w:type="dxa"/>
            <w:shd w:val="clear" w:color="000000" w:fill="D9D9D9"/>
            <w:vAlign w:val="center"/>
          </w:tcPr>
          <w:p w:rsidR="00B06AE6" w:rsidRPr="00DB377E" w:rsidRDefault="00B06AE6" w:rsidP="005C56AB">
            <w:pPr>
              <w:spacing w:after="0" w:line="240" w:lineRule="auto"/>
              <w:jc w:val="center"/>
              <w:rPr>
                <w:rFonts w:ascii="Times New Roman" w:eastAsia="Times New Roman" w:hAnsi="Times New Roman" w:cs="Times New Roman"/>
                <w:b/>
                <w:bCs/>
                <w:sz w:val="21"/>
                <w:szCs w:val="21"/>
              </w:rPr>
            </w:pPr>
            <w:r w:rsidRPr="00DB377E">
              <w:rPr>
                <w:rFonts w:ascii="Times New Roman" w:eastAsia="Times New Roman" w:hAnsi="Times New Roman" w:cs="Times New Roman"/>
                <w:b/>
                <w:bCs/>
                <w:sz w:val="21"/>
                <w:szCs w:val="21"/>
              </w:rPr>
              <w:t>NWCCU Approval</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COH/CAS/</w:t>
            </w:r>
          </w:p>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COE/UAF</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Marriage and Family Therapy</w:t>
            </w:r>
            <w:r w:rsidRPr="00DB377E">
              <w:rPr>
                <w:rFonts w:ascii="Times New Roman" w:eastAsia="Times New Roman" w:hAnsi="Times New Roman" w:cs="Times New Roman"/>
                <w:i/>
                <w:sz w:val="21"/>
                <w:szCs w:val="21"/>
              </w:rPr>
              <w:t xml:space="preserve"> (joint program)</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GC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hideMark/>
          </w:tcPr>
          <w:p w:rsidR="00B06AE6" w:rsidRPr="00DB377E" w:rsidRDefault="00B06AE6" w:rsidP="00DB377E">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 xml:space="preserve">Approved, </w:t>
            </w:r>
            <w:r>
              <w:rPr>
                <w:rFonts w:ascii="Times New Roman" w:eastAsia="Times New Roman" w:hAnsi="Times New Roman" w:cs="Times New Roman"/>
                <w:sz w:val="21"/>
                <w:szCs w:val="21"/>
              </w:rPr>
              <w:t>Awaiting Funds to</w:t>
            </w:r>
            <w:r w:rsidRPr="00DB377E">
              <w:rPr>
                <w:rFonts w:ascii="Times New Roman" w:eastAsia="Times New Roman" w:hAnsi="Times New Roman" w:cs="Times New Roman"/>
                <w:sz w:val="21"/>
                <w:szCs w:val="21"/>
              </w:rPr>
              <w:t xml:space="preserve"> Implement</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4/3/14</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7/8/14</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KOD</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Alutiiq Language</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OEC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hideMark/>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Approved</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7/10/14</w:t>
            </w:r>
          </w:p>
        </w:tc>
      </w:tr>
      <w:tr w:rsidR="00B06AE6" w:rsidRPr="00DB377E" w:rsidTr="00B06AE6">
        <w:trPr>
          <w:cantSplit/>
          <w:trHeight w:val="404"/>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CBPP</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Alaska Native Business</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Minor</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hideMark/>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Approved</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7/11/14</w:t>
            </w:r>
          </w:p>
        </w:tc>
      </w:tr>
      <w:tr w:rsidR="00B06AE6" w:rsidRPr="00DB377E" w:rsidTr="00B06AE6">
        <w:trPr>
          <w:cantSplit/>
          <w:trHeight w:val="593"/>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COE</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Speech/Language Pathology</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PBC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tcPr>
          <w:p w:rsidR="00B06AE6" w:rsidRPr="00DB377E" w:rsidRDefault="00B06AE6" w:rsidP="00B06AE6">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 xml:space="preserve">Awaiting Approvals: </w:t>
            </w:r>
            <w:r>
              <w:rPr>
                <w:rFonts w:ascii="Times New Roman" w:eastAsia="Times New Roman" w:hAnsi="Times New Roman" w:cs="Times New Roman"/>
                <w:sz w:val="21"/>
                <w:szCs w:val="21"/>
              </w:rPr>
              <w:t>B</w:t>
            </w:r>
            <w:r w:rsidRPr="00DB377E">
              <w:rPr>
                <w:rFonts w:ascii="Times New Roman" w:eastAsia="Times New Roman" w:hAnsi="Times New Roman" w:cs="Times New Roman"/>
                <w:sz w:val="21"/>
                <w:szCs w:val="21"/>
              </w:rPr>
              <w:t>OR/SAC</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Scheduled Sept 2014</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p>
        </w:tc>
      </w:tr>
      <w:tr w:rsidR="00B06AE6" w:rsidRPr="00DB377E" w:rsidTr="00B06AE6">
        <w:trPr>
          <w:cantSplit/>
          <w:trHeight w:val="66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CBPP</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Supply Chain Management</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GC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6/6/14</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Sent to NW 6/10/14</w:t>
            </w:r>
          </w:p>
        </w:tc>
      </w:tr>
      <w:tr w:rsidR="00B06AE6" w:rsidRPr="00DB377E" w:rsidTr="00B06AE6">
        <w:trPr>
          <w:cantSplit/>
          <w:trHeight w:val="512"/>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lastRenderedPageBreak/>
              <w:t>COE</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Speech/Language Pathology</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Minor</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5/8</w:t>
            </w:r>
            <w:r w:rsidRPr="00DB377E">
              <w:rPr>
                <w:rFonts w:ascii="Times New Roman" w:eastAsia="Times New Roman" w:hAnsi="Times New Roman" w:cs="Times New Roman"/>
                <w:color w:val="000000"/>
                <w:sz w:val="21"/>
                <w:szCs w:val="21"/>
              </w:rPr>
              <w:t>/14</w:t>
            </w:r>
          </w:p>
        </w:tc>
      </w:tr>
      <w:tr w:rsidR="00B06AE6" w:rsidRPr="00DB377E" w:rsidTr="00B06AE6">
        <w:trPr>
          <w:cantSplit/>
          <w:trHeight w:val="5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COH</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Human Services</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Minor</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New</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Sent to NW 6/</w:t>
            </w:r>
            <w:r>
              <w:rPr>
                <w:rFonts w:ascii="Times New Roman" w:eastAsia="Times New Roman" w:hAnsi="Times New Roman" w:cs="Times New Roman"/>
                <w:color w:val="000000"/>
                <w:sz w:val="21"/>
                <w:szCs w:val="21"/>
              </w:rPr>
              <w:t>3</w:t>
            </w:r>
            <w:r w:rsidRPr="00DB377E">
              <w:rPr>
                <w:rFonts w:ascii="Times New Roman" w:eastAsia="Times New Roman" w:hAnsi="Times New Roman" w:cs="Times New Roman"/>
                <w:color w:val="000000"/>
                <w:sz w:val="21"/>
                <w:szCs w:val="21"/>
              </w:rPr>
              <w:t>0/14</w:t>
            </w:r>
          </w:p>
        </w:tc>
      </w:tr>
      <w:tr w:rsidR="00B06AE6" w:rsidRPr="00DB377E" w:rsidTr="00B06AE6">
        <w:trPr>
          <w:cantSplit/>
          <w:trHeight w:val="512"/>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CTC/KPC/</w:t>
            </w:r>
            <w:r w:rsidRPr="00DB377E">
              <w:rPr>
                <w:rFonts w:ascii="Times New Roman" w:eastAsia="Times New Roman" w:hAnsi="Times New Roman" w:cs="Times New Roman"/>
                <w:color w:val="000000"/>
                <w:sz w:val="21"/>
                <w:szCs w:val="21"/>
              </w:rPr>
              <w:br/>
              <w:t>KOD/MSC</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Bookkeeping Support</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OEC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4/20/14</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CTC/KPC/</w:t>
            </w:r>
            <w:r w:rsidRPr="00DB377E">
              <w:rPr>
                <w:rFonts w:ascii="Times New Roman" w:eastAsia="Times New Roman" w:hAnsi="Times New Roman" w:cs="Times New Roman"/>
                <w:sz w:val="21"/>
                <w:szCs w:val="21"/>
              </w:rPr>
              <w:br/>
              <w:t>KOD/MSC</w:t>
            </w:r>
          </w:p>
        </w:tc>
        <w:tc>
          <w:tcPr>
            <w:tcW w:w="2583" w:type="dxa"/>
            <w:shd w:val="clear" w:color="auto" w:fill="auto"/>
            <w:vAlign w:val="center"/>
          </w:tcPr>
          <w:p w:rsidR="00B06AE6" w:rsidRPr="00DB377E" w:rsidRDefault="00B06AE6" w:rsidP="00DB377E">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Computer Information &amp; Office Systems</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UC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6/6/14</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6/10</w:t>
            </w:r>
            <w:r w:rsidRPr="00DB377E">
              <w:rPr>
                <w:rFonts w:ascii="Times New Roman" w:eastAsia="Times New Roman" w:hAnsi="Times New Roman" w:cs="Times New Roman"/>
                <w:color w:val="000000"/>
                <w:sz w:val="21"/>
                <w:szCs w:val="21"/>
              </w:rPr>
              <w:t>/14</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CTC/KPC/</w:t>
            </w:r>
            <w:r w:rsidRPr="00DB377E">
              <w:rPr>
                <w:rFonts w:ascii="Times New Roman" w:eastAsia="Times New Roman" w:hAnsi="Times New Roman" w:cs="Times New Roman"/>
                <w:color w:val="000000"/>
                <w:sz w:val="21"/>
                <w:szCs w:val="21"/>
              </w:rPr>
              <w:br/>
              <w:t>KOD/MSC</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Medical Office Support</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OEC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4/20/14</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CTC/KPC/</w:t>
            </w:r>
            <w:r w:rsidRPr="00DB377E">
              <w:rPr>
                <w:rFonts w:ascii="Times New Roman" w:eastAsia="Times New Roman" w:hAnsi="Times New Roman" w:cs="Times New Roman"/>
                <w:color w:val="000000"/>
                <w:sz w:val="21"/>
                <w:szCs w:val="21"/>
              </w:rPr>
              <w:br/>
              <w:t>KOD/MSC</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Office Digital Media</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OEC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4/20/14</w:t>
            </w:r>
          </w:p>
        </w:tc>
      </w:tr>
      <w:tr w:rsidR="00B06AE6" w:rsidRPr="00DB377E" w:rsidTr="00B06AE6">
        <w:trPr>
          <w:cantSplit/>
          <w:trHeight w:val="330"/>
          <w:jc w:val="center"/>
        </w:trPr>
        <w:tc>
          <w:tcPr>
            <w:tcW w:w="1228"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CTC/KPC/</w:t>
            </w:r>
            <w:r w:rsidRPr="00DB377E">
              <w:rPr>
                <w:rFonts w:ascii="Times New Roman" w:eastAsia="Times New Roman" w:hAnsi="Times New Roman" w:cs="Times New Roman"/>
                <w:color w:val="000000"/>
                <w:sz w:val="21"/>
                <w:szCs w:val="21"/>
              </w:rPr>
              <w:br/>
              <w:t>KOD/MSC</w:t>
            </w:r>
          </w:p>
        </w:tc>
        <w:tc>
          <w:tcPr>
            <w:tcW w:w="2583"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Technical Support</w:t>
            </w:r>
          </w:p>
        </w:tc>
        <w:tc>
          <w:tcPr>
            <w:tcW w:w="837"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OEC</w:t>
            </w:r>
          </w:p>
        </w:tc>
        <w:tc>
          <w:tcPr>
            <w:tcW w:w="810"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color w:val="FF0000"/>
                <w:sz w:val="21"/>
                <w:szCs w:val="21"/>
              </w:rPr>
            </w:pPr>
            <w:r w:rsidRPr="00DB377E">
              <w:rPr>
                <w:rFonts w:ascii="Times New Roman" w:eastAsia="Times New Roman" w:hAnsi="Times New Roman" w:cs="Times New Roman"/>
                <w:color w:val="FF0000"/>
                <w:sz w:val="21"/>
                <w:szCs w:val="21"/>
              </w:rPr>
              <w:t>Delete</w:t>
            </w:r>
          </w:p>
        </w:tc>
        <w:tc>
          <w:tcPr>
            <w:tcW w:w="2041" w:type="dxa"/>
            <w:shd w:val="clear" w:color="auto" w:fill="auto"/>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sidRPr="00DB377E">
              <w:rPr>
                <w:rFonts w:ascii="Times New Roman" w:eastAsia="Times New Roman" w:hAnsi="Times New Roman" w:cs="Times New Roman"/>
                <w:sz w:val="21"/>
                <w:szCs w:val="21"/>
              </w:rPr>
              <w:t>Awaiting Approvals: NWCCU</w:t>
            </w:r>
          </w:p>
        </w:tc>
        <w:tc>
          <w:tcPr>
            <w:tcW w:w="1014" w:type="dxa"/>
            <w:vAlign w:val="center"/>
          </w:tcPr>
          <w:p w:rsidR="00B06AE6" w:rsidRPr="00DB377E" w:rsidRDefault="00B06AE6" w:rsidP="005C56AB">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N/A</w:t>
            </w:r>
          </w:p>
        </w:tc>
        <w:tc>
          <w:tcPr>
            <w:tcW w:w="1265" w:type="dxa"/>
            <w:vAlign w:val="center"/>
          </w:tcPr>
          <w:p w:rsidR="00B06AE6" w:rsidRPr="00DB377E" w:rsidRDefault="00B06AE6" w:rsidP="005C56AB">
            <w:pPr>
              <w:spacing w:after="0" w:line="240" w:lineRule="auto"/>
              <w:jc w:val="center"/>
              <w:rPr>
                <w:rFonts w:ascii="Times New Roman" w:eastAsia="Times New Roman" w:hAnsi="Times New Roman" w:cs="Times New Roman"/>
                <w:color w:val="000000"/>
                <w:sz w:val="21"/>
                <w:szCs w:val="21"/>
              </w:rPr>
            </w:pPr>
            <w:r w:rsidRPr="00DB377E">
              <w:rPr>
                <w:rFonts w:ascii="Times New Roman" w:eastAsia="Times New Roman" w:hAnsi="Times New Roman" w:cs="Times New Roman"/>
                <w:color w:val="000000"/>
                <w:sz w:val="21"/>
                <w:szCs w:val="21"/>
              </w:rPr>
              <w:t xml:space="preserve">Sent to NW </w:t>
            </w:r>
            <w:r>
              <w:rPr>
                <w:rFonts w:ascii="Times New Roman" w:eastAsia="Times New Roman" w:hAnsi="Times New Roman" w:cs="Times New Roman"/>
                <w:color w:val="000000"/>
                <w:sz w:val="21"/>
                <w:szCs w:val="21"/>
              </w:rPr>
              <w:t>4/20/14</w:t>
            </w:r>
          </w:p>
        </w:tc>
      </w:tr>
    </w:tbl>
    <w:p w:rsidR="00313C6E" w:rsidRDefault="00313C6E" w:rsidP="00313C6E">
      <w:pPr>
        <w:spacing w:after="0" w:line="240" w:lineRule="auto"/>
        <w:ind w:left="720"/>
        <w:rPr>
          <w:rFonts w:cstheme="minorHAnsi"/>
          <w:sz w:val="24"/>
          <w:szCs w:val="24"/>
        </w:rPr>
      </w:pPr>
    </w:p>
    <w:p w:rsidR="00A02B8D" w:rsidRPr="00AC145A" w:rsidRDefault="00A02B8D" w:rsidP="00A02B8D">
      <w:pPr>
        <w:spacing w:after="0" w:line="240" w:lineRule="auto"/>
        <w:rPr>
          <w:rFonts w:cstheme="minorHAnsi"/>
          <w:b/>
          <w:sz w:val="24"/>
          <w:szCs w:val="24"/>
        </w:rPr>
      </w:pPr>
    </w:p>
    <w:p w:rsidR="009729E3" w:rsidRPr="009729E3" w:rsidRDefault="009729E3" w:rsidP="00BE77BA">
      <w:pPr>
        <w:shd w:val="clear" w:color="auto" w:fill="D6E3BC" w:themeFill="accent3" w:themeFillTint="66"/>
        <w:tabs>
          <w:tab w:val="left" w:pos="3000"/>
        </w:tabs>
        <w:ind w:right="720"/>
        <w:rPr>
          <w:rFonts w:ascii="Cambria" w:hAnsi="Cambria" w:cs="Times New Roman"/>
          <w:b/>
          <w:sz w:val="28"/>
        </w:rPr>
      </w:pPr>
      <w:r w:rsidRPr="00BD3F5B">
        <w:rPr>
          <w:rFonts w:ascii="Cambria" w:hAnsi="Cambria" w:cs="Times New Roman"/>
          <w:b/>
          <w:sz w:val="28"/>
        </w:rPr>
        <w:t>Accreditation</w:t>
      </w:r>
      <w:r>
        <w:rPr>
          <w:rFonts w:ascii="Cambria" w:hAnsi="Cambria" w:cs="Times New Roman"/>
          <w:b/>
          <w:sz w:val="28"/>
        </w:rPr>
        <w:tab/>
      </w:r>
    </w:p>
    <w:p w:rsidR="00A02B8D" w:rsidRPr="00AC145A" w:rsidRDefault="00E901E7" w:rsidP="00A02B8D">
      <w:pPr>
        <w:spacing w:after="0" w:line="240" w:lineRule="auto"/>
        <w:rPr>
          <w:rFonts w:cstheme="minorHAnsi"/>
          <w:b/>
          <w:sz w:val="24"/>
          <w:szCs w:val="24"/>
        </w:rPr>
      </w:pPr>
      <w:r>
        <w:rPr>
          <w:rFonts w:cstheme="minorHAnsi"/>
          <w:b/>
          <w:sz w:val="24"/>
          <w:szCs w:val="24"/>
        </w:rPr>
        <w:t xml:space="preserve">Institutional </w:t>
      </w:r>
      <w:r w:rsidR="00A02B8D" w:rsidRPr="00AC145A">
        <w:rPr>
          <w:rFonts w:cstheme="minorHAnsi"/>
          <w:b/>
          <w:sz w:val="24"/>
          <w:szCs w:val="24"/>
        </w:rPr>
        <w:t xml:space="preserve">Accreditation: </w:t>
      </w:r>
      <w:hyperlink r:id="rId11" w:history="1">
        <w:r w:rsidRPr="00FD4158">
          <w:rPr>
            <w:rStyle w:val="Hyperlink"/>
            <w:b/>
          </w:rPr>
          <w:t>http://www.uaa.alaska.edu/undergraduate-academic-affairs/Accreditation/index.cfm</w:t>
        </w:r>
      </w:hyperlink>
      <w:r>
        <w:rPr>
          <w:b/>
        </w:rPr>
        <w:t xml:space="preserve"> </w:t>
      </w:r>
    </w:p>
    <w:p w:rsidR="00957076" w:rsidRDefault="00957076" w:rsidP="006A16FF">
      <w:pPr>
        <w:pStyle w:val="ListParagraph"/>
        <w:numPr>
          <w:ilvl w:val="0"/>
          <w:numId w:val="13"/>
        </w:numPr>
        <w:ind w:left="720"/>
        <w:rPr>
          <w:sz w:val="24"/>
          <w:szCs w:val="24"/>
        </w:rPr>
      </w:pPr>
      <w:r w:rsidRPr="00AC4C62">
        <w:rPr>
          <w:sz w:val="24"/>
          <w:szCs w:val="24"/>
        </w:rPr>
        <w:t xml:space="preserve">Mid-Cycle </w:t>
      </w:r>
      <w:r w:rsidR="00E901E7">
        <w:rPr>
          <w:sz w:val="24"/>
          <w:szCs w:val="24"/>
        </w:rPr>
        <w:t>Evaluation</w:t>
      </w:r>
      <w:r w:rsidRPr="00AC4C62">
        <w:rPr>
          <w:sz w:val="24"/>
          <w:szCs w:val="24"/>
        </w:rPr>
        <w:t xml:space="preserve"> accreditation report due to NWCCU on September </w:t>
      </w:r>
      <w:r w:rsidR="00E901E7">
        <w:rPr>
          <w:sz w:val="24"/>
          <w:szCs w:val="24"/>
        </w:rPr>
        <w:t>24</w:t>
      </w:r>
      <w:r w:rsidRPr="00AC4C62">
        <w:rPr>
          <w:sz w:val="24"/>
          <w:szCs w:val="24"/>
        </w:rPr>
        <w:t>, 2014. Site visit scheduled October 29-30, 2014.</w:t>
      </w:r>
    </w:p>
    <w:p w:rsidR="00B06AE6" w:rsidRDefault="00B06AE6" w:rsidP="006A16FF">
      <w:pPr>
        <w:pStyle w:val="ListParagraph"/>
        <w:numPr>
          <w:ilvl w:val="0"/>
          <w:numId w:val="13"/>
        </w:numPr>
        <w:ind w:left="720"/>
        <w:rPr>
          <w:sz w:val="24"/>
          <w:szCs w:val="24"/>
        </w:rPr>
      </w:pPr>
      <w:r>
        <w:rPr>
          <w:sz w:val="24"/>
          <w:szCs w:val="24"/>
        </w:rPr>
        <w:t xml:space="preserve">BOR approved bringing PWSCC into UAA’s institutional accreditation. Currently in the process of obtaining NWCCU approval for this change and developing a plan for implementation. </w:t>
      </w:r>
    </w:p>
    <w:p w:rsidR="00E901E7" w:rsidRPr="00E901E7" w:rsidRDefault="00E901E7" w:rsidP="00E901E7">
      <w:pPr>
        <w:spacing w:after="0" w:line="240" w:lineRule="auto"/>
        <w:rPr>
          <w:rFonts w:cstheme="minorHAnsi"/>
          <w:b/>
          <w:sz w:val="24"/>
          <w:szCs w:val="24"/>
        </w:rPr>
      </w:pPr>
      <w:r>
        <w:rPr>
          <w:rFonts w:cstheme="minorHAnsi"/>
          <w:b/>
          <w:sz w:val="24"/>
          <w:szCs w:val="24"/>
        </w:rPr>
        <w:t xml:space="preserve">Program </w:t>
      </w:r>
      <w:r w:rsidRPr="00E901E7">
        <w:rPr>
          <w:rFonts w:cstheme="minorHAnsi"/>
          <w:b/>
          <w:sz w:val="24"/>
          <w:szCs w:val="24"/>
        </w:rPr>
        <w:t xml:space="preserve">Accreditation: </w:t>
      </w:r>
      <w:hyperlink r:id="rId12" w:history="1">
        <w:r w:rsidRPr="00FD4158">
          <w:rPr>
            <w:rStyle w:val="Hyperlink"/>
            <w:b/>
          </w:rPr>
          <w:t>http://www.uaa.alaska.edu/undergraduate-academic-affairs/program-accreditation.cfm</w:t>
        </w:r>
      </w:hyperlink>
      <w:r>
        <w:rPr>
          <w:b/>
        </w:rPr>
        <w:t xml:space="preserve"> </w:t>
      </w:r>
      <w:r w:rsidRPr="00E901E7">
        <w:rPr>
          <w:b/>
        </w:rPr>
        <w:t xml:space="preserve"> </w:t>
      </w:r>
    </w:p>
    <w:p w:rsidR="00E901E7" w:rsidRDefault="00E901E7" w:rsidP="006A16FF">
      <w:pPr>
        <w:pStyle w:val="ListParagraph"/>
        <w:numPr>
          <w:ilvl w:val="0"/>
          <w:numId w:val="13"/>
        </w:numPr>
        <w:ind w:left="720"/>
        <w:rPr>
          <w:sz w:val="24"/>
          <w:szCs w:val="24"/>
        </w:rPr>
      </w:pPr>
      <w:r>
        <w:rPr>
          <w:sz w:val="24"/>
          <w:szCs w:val="24"/>
        </w:rPr>
        <w:t xml:space="preserve">Please contact OUAA if you are considering new program accreditation or working on maintaining your already-existing program accreditation. This summer, OUAA assisted faculty with ten program accreditation self-studies and other reports, and two site visits. There are five </w:t>
      </w:r>
      <w:r w:rsidR="008A1F3E">
        <w:rPr>
          <w:sz w:val="24"/>
          <w:szCs w:val="24"/>
        </w:rPr>
        <w:t xml:space="preserve">more </w:t>
      </w:r>
      <w:r w:rsidR="0030216C">
        <w:rPr>
          <w:sz w:val="24"/>
          <w:szCs w:val="24"/>
        </w:rPr>
        <w:t>reports</w:t>
      </w:r>
      <w:r>
        <w:rPr>
          <w:sz w:val="24"/>
          <w:szCs w:val="24"/>
        </w:rPr>
        <w:t xml:space="preserve"> and five site visits scheduled this fall.</w:t>
      </w:r>
      <w:bookmarkStart w:id="0" w:name="_GoBack"/>
      <w:bookmarkEnd w:id="0"/>
    </w:p>
    <w:p w:rsidR="009729E3" w:rsidRDefault="009729E3" w:rsidP="009729E3">
      <w:pPr>
        <w:pStyle w:val="ListParagraph"/>
        <w:rPr>
          <w:sz w:val="24"/>
          <w:szCs w:val="24"/>
        </w:rPr>
      </w:pPr>
    </w:p>
    <w:p w:rsidR="009729E3" w:rsidRPr="003054DA" w:rsidRDefault="003054DA" w:rsidP="00BE77BA">
      <w:pPr>
        <w:pStyle w:val="ListParagraph"/>
        <w:shd w:val="clear" w:color="auto" w:fill="D6E3BC" w:themeFill="accent3" w:themeFillTint="66"/>
        <w:tabs>
          <w:tab w:val="left" w:pos="3000"/>
        </w:tabs>
        <w:ind w:left="90" w:right="720"/>
        <w:rPr>
          <w:rFonts w:ascii="Cambria" w:hAnsi="Cambria" w:cs="Times New Roman"/>
          <w:b/>
          <w:sz w:val="28"/>
        </w:rPr>
      </w:pPr>
      <w:r>
        <w:rPr>
          <w:rFonts w:ascii="Cambria" w:hAnsi="Cambria" w:cs="Times New Roman"/>
          <w:b/>
          <w:sz w:val="28"/>
        </w:rPr>
        <w:t>Course Fees</w:t>
      </w:r>
      <w:r w:rsidR="009729E3" w:rsidRPr="009729E3">
        <w:rPr>
          <w:rFonts w:ascii="Cambria" w:hAnsi="Cambria" w:cs="Times New Roman"/>
          <w:b/>
          <w:sz w:val="28"/>
        </w:rPr>
        <w:tab/>
      </w:r>
    </w:p>
    <w:p w:rsidR="009729E3" w:rsidRPr="009729E3" w:rsidRDefault="009729E3" w:rsidP="009729E3">
      <w:pPr>
        <w:pStyle w:val="ListParagraph"/>
        <w:numPr>
          <w:ilvl w:val="0"/>
          <w:numId w:val="4"/>
        </w:numPr>
        <w:spacing w:after="0" w:line="240" w:lineRule="auto"/>
        <w:rPr>
          <w:b/>
          <w:sz w:val="24"/>
          <w:szCs w:val="24"/>
        </w:rPr>
      </w:pPr>
      <w:r w:rsidRPr="009729E3">
        <w:rPr>
          <w:sz w:val="24"/>
          <w:szCs w:val="24"/>
          <w:u w:val="single"/>
        </w:rPr>
        <w:t xml:space="preserve">New or Revised Course Fee Request Deadlines (Due to OAA)  </w:t>
      </w:r>
    </w:p>
    <w:p w:rsidR="009729E3" w:rsidRPr="008B4673" w:rsidRDefault="009729E3" w:rsidP="009729E3">
      <w:pPr>
        <w:spacing w:after="0" w:line="240" w:lineRule="auto"/>
        <w:ind w:firstLine="720"/>
        <w:rPr>
          <w:b/>
          <w:sz w:val="24"/>
          <w:szCs w:val="24"/>
        </w:rPr>
      </w:pPr>
      <w:r w:rsidRPr="008B4673">
        <w:rPr>
          <w:b/>
          <w:sz w:val="24"/>
          <w:szCs w:val="24"/>
        </w:rPr>
        <w:t>Spring Semester 2015</w:t>
      </w:r>
      <w:r w:rsidRPr="008B4673">
        <w:rPr>
          <w:b/>
          <w:sz w:val="24"/>
          <w:szCs w:val="24"/>
        </w:rPr>
        <w:tab/>
      </w:r>
      <w:r w:rsidRPr="008B4673">
        <w:rPr>
          <w:b/>
          <w:sz w:val="24"/>
          <w:szCs w:val="24"/>
        </w:rPr>
        <w:tab/>
        <w:t>Friday, October 17, 2014</w:t>
      </w:r>
    </w:p>
    <w:p w:rsidR="009729E3" w:rsidRPr="00AA1AB1" w:rsidRDefault="009729E3" w:rsidP="009729E3">
      <w:pPr>
        <w:spacing w:after="0" w:line="240" w:lineRule="auto"/>
        <w:ind w:left="720"/>
        <w:rPr>
          <w:sz w:val="24"/>
          <w:szCs w:val="24"/>
        </w:rPr>
      </w:pPr>
      <w:r w:rsidRPr="00AA1AB1">
        <w:rPr>
          <w:sz w:val="24"/>
          <w:szCs w:val="24"/>
        </w:rPr>
        <w:t>Summer Semester 2015</w:t>
      </w:r>
      <w:r w:rsidRPr="00AA1AB1">
        <w:rPr>
          <w:sz w:val="24"/>
          <w:szCs w:val="24"/>
        </w:rPr>
        <w:tab/>
        <w:t>Friday, January 23, 2014</w:t>
      </w:r>
    </w:p>
    <w:p w:rsidR="009729E3" w:rsidRPr="00AC145A" w:rsidRDefault="009729E3" w:rsidP="009729E3">
      <w:pPr>
        <w:spacing w:after="0" w:line="240" w:lineRule="auto"/>
        <w:ind w:left="720"/>
        <w:rPr>
          <w:sz w:val="24"/>
          <w:szCs w:val="24"/>
        </w:rPr>
      </w:pPr>
      <w:r w:rsidRPr="00AA1AB1">
        <w:rPr>
          <w:sz w:val="24"/>
          <w:szCs w:val="24"/>
        </w:rPr>
        <w:t>Fall Semester 2015</w:t>
      </w:r>
      <w:r w:rsidRPr="00AA1AB1">
        <w:rPr>
          <w:sz w:val="24"/>
          <w:szCs w:val="24"/>
        </w:rPr>
        <w:tab/>
      </w:r>
      <w:r w:rsidRPr="00AA1AB1">
        <w:rPr>
          <w:sz w:val="24"/>
          <w:szCs w:val="24"/>
        </w:rPr>
        <w:tab/>
        <w:t>Friday, March 13, 2015</w:t>
      </w:r>
    </w:p>
    <w:p w:rsidR="009729E3" w:rsidRPr="00AC145A" w:rsidRDefault="009729E3" w:rsidP="009729E3">
      <w:pPr>
        <w:spacing w:after="0" w:line="240" w:lineRule="auto"/>
        <w:ind w:left="720"/>
        <w:rPr>
          <w:sz w:val="24"/>
          <w:szCs w:val="24"/>
        </w:rPr>
      </w:pPr>
      <w:r w:rsidRPr="00AC145A">
        <w:rPr>
          <w:sz w:val="24"/>
          <w:szCs w:val="24"/>
        </w:rPr>
        <w:t xml:space="preserve"> </w:t>
      </w:r>
    </w:p>
    <w:p w:rsidR="009729E3" w:rsidRPr="009729E3" w:rsidRDefault="009729E3" w:rsidP="009729E3">
      <w:pPr>
        <w:rPr>
          <w:sz w:val="24"/>
          <w:szCs w:val="24"/>
        </w:rPr>
      </w:pPr>
    </w:p>
    <w:sectPr w:rsidR="009729E3" w:rsidRPr="009729E3" w:rsidSect="00C54F5D">
      <w:headerReference w:type="default" r:id="rId13"/>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8D" w:rsidRDefault="00A02B8D" w:rsidP="00A02B8D">
      <w:pPr>
        <w:spacing w:after="0" w:line="240" w:lineRule="auto"/>
      </w:pPr>
      <w:r>
        <w:separator/>
      </w:r>
    </w:p>
  </w:endnote>
  <w:endnote w:type="continuationSeparator" w:id="0">
    <w:p w:rsidR="00A02B8D" w:rsidRDefault="00A02B8D" w:rsidP="00A0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8D" w:rsidRDefault="00A02B8D" w:rsidP="00A02B8D">
      <w:pPr>
        <w:spacing w:after="0" w:line="240" w:lineRule="auto"/>
      </w:pPr>
      <w:r>
        <w:separator/>
      </w:r>
    </w:p>
  </w:footnote>
  <w:footnote w:type="continuationSeparator" w:id="0">
    <w:p w:rsidR="00A02B8D" w:rsidRDefault="00A02B8D" w:rsidP="00A0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DF" w:rsidRDefault="006C1FCF" w:rsidP="00461D78">
    <w:pPr>
      <w:spacing w:after="0" w:line="240" w:lineRule="auto"/>
      <w:rPr>
        <w:b/>
        <w:sz w:val="20"/>
        <w:szCs w:val="20"/>
      </w:rPr>
    </w:pPr>
    <w:r w:rsidRPr="00424173">
      <w:rPr>
        <w:b/>
        <w:sz w:val="20"/>
        <w:szCs w:val="20"/>
      </w:rPr>
      <w:t xml:space="preserve">UAB Report </w:t>
    </w:r>
    <w:r w:rsidR="00424173">
      <w:rPr>
        <w:b/>
        <w:sz w:val="20"/>
        <w:szCs w:val="20"/>
      </w:rPr>
      <w:t>(</w:t>
    </w:r>
    <w:r w:rsidR="00E901E7">
      <w:rPr>
        <w:b/>
        <w:sz w:val="20"/>
        <w:szCs w:val="20"/>
      </w:rPr>
      <w:t>8-29</w:t>
    </w:r>
    <w:r w:rsidR="008B4673">
      <w:rPr>
        <w:b/>
        <w:sz w:val="20"/>
        <w:szCs w:val="20"/>
      </w:rPr>
      <w:t>-14</w:t>
    </w:r>
    <w:r w:rsidR="00AA3CDF">
      <w:rPr>
        <w:b/>
        <w:sz w:val="20"/>
        <w:szCs w:val="20"/>
      </w:rPr>
      <w:t>)</w:t>
    </w:r>
  </w:p>
  <w:p w:rsidR="0021185E" w:rsidRPr="00461D78" w:rsidRDefault="006C1FCF" w:rsidP="00461D78">
    <w:pPr>
      <w:spacing w:after="0" w:line="240" w:lineRule="auto"/>
      <w:rPr>
        <w:b/>
        <w:sz w:val="20"/>
        <w:szCs w:val="20"/>
      </w:rPr>
    </w:pPr>
    <w:r w:rsidRPr="00461D78">
      <w:rPr>
        <w:b/>
        <w:sz w:val="20"/>
        <w:szCs w:val="20"/>
      </w:rPr>
      <w:t>Undergraduate Academic Affairs</w:t>
    </w:r>
  </w:p>
  <w:p w:rsidR="0021185E" w:rsidRDefault="00BE7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02B23"/>
    <w:multiLevelType w:val="hybridMultilevel"/>
    <w:tmpl w:val="4CEE9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F82189"/>
    <w:multiLevelType w:val="hybridMultilevel"/>
    <w:tmpl w:val="62EC6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606F26"/>
    <w:multiLevelType w:val="hybridMultilevel"/>
    <w:tmpl w:val="6E7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A269F"/>
    <w:multiLevelType w:val="hybridMultilevel"/>
    <w:tmpl w:val="8E06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490BF3"/>
    <w:multiLevelType w:val="hybridMultilevel"/>
    <w:tmpl w:val="0BCA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0344A"/>
    <w:multiLevelType w:val="hybridMultilevel"/>
    <w:tmpl w:val="6916DE5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nsid w:val="2F2B2FFD"/>
    <w:multiLevelType w:val="hybridMultilevel"/>
    <w:tmpl w:val="931C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93890"/>
    <w:multiLevelType w:val="hybridMultilevel"/>
    <w:tmpl w:val="5E7E6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5817D8"/>
    <w:multiLevelType w:val="hybridMultilevel"/>
    <w:tmpl w:val="221E3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A4038E"/>
    <w:multiLevelType w:val="hybridMultilevel"/>
    <w:tmpl w:val="13FE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171B1"/>
    <w:multiLevelType w:val="hybridMultilevel"/>
    <w:tmpl w:val="BF467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54177C3"/>
    <w:multiLevelType w:val="hybridMultilevel"/>
    <w:tmpl w:val="96221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66601"/>
    <w:multiLevelType w:val="hybridMultilevel"/>
    <w:tmpl w:val="63EA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5732E56"/>
    <w:multiLevelType w:val="hybridMultilevel"/>
    <w:tmpl w:val="B3D2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A111B4"/>
    <w:multiLevelType w:val="hybridMultilevel"/>
    <w:tmpl w:val="6D28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215D6"/>
    <w:multiLevelType w:val="hybridMultilevel"/>
    <w:tmpl w:val="69F08244"/>
    <w:lvl w:ilvl="0" w:tplc="CE787AA2">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7B3610FA"/>
    <w:multiLevelType w:val="hybridMultilevel"/>
    <w:tmpl w:val="E7A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2"/>
  </w:num>
  <w:num w:numId="5">
    <w:abstractNumId w:val="14"/>
  </w:num>
  <w:num w:numId="6">
    <w:abstractNumId w:val="0"/>
  </w:num>
  <w:num w:numId="7">
    <w:abstractNumId w:val="6"/>
  </w:num>
  <w:num w:numId="8">
    <w:abstractNumId w:val="5"/>
  </w:num>
  <w:num w:numId="9">
    <w:abstractNumId w:val="13"/>
  </w:num>
  <w:num w:numId="10">
    <w:abstractNumId w:val="4"/>
  </w:num>
  <w:num w:numId="11">
    <w:abstractNumId w:val="3"/>
  </w:num>
  <w:num w:numId="12">
    <w:abstractNumId w:val="1"/>
  </w:num>
  <w:num w:numId="13">
    <w:abstractNumId w:val="15"/>
  </w:num>
  <w:num w:numId="14">
    <w:abstractNumId w:val="16"/>
  </w:num>
  <w:num w:numId="15">
    <w:abstractNumId w:val="9"/>
  </w:num>
  <w:num w:numId="16">
    <w:abstractNumId w:val="1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8D"/>
    <w:rsid w:val="00004745"/>
    <w:rsid w:val="00025ABE"/>
    <w:rsid w:val="00047A33"/>
    <w:rsid w:val="0005439A"/>
    <w:rsid w:val="000B7204"/>
    <w:rsid w:val="0011597A"/>
    <w:rsid w:val="0011726F"/>
    <w:rsid w:val="00122599"/>
    <w:rsid w:val="00166E8D"/>
    <w:rsid w:val="0021261E"/>
    <w:rsid w:val="0030216C"/>
    <w:rsid w:val="003054DA"/>
    <w:rsid w:val="00313059"/>
    <w:rsid w:val="00313C6E"/>
    <w:rsid w:val="003662A5"/>
    <w:rsid w:val="0036637D"/>
    <w:rsid w:val="00371897"/>
    <w:rsid w:val="003A1C08"/>
    <w:rsid w:val="003A3ADD"/>
    <w:rsid w:val="00424173"/>
    <w:rsid w:val="004733DE"/>
    <w:rsid w:val="00482205"/>
    <w:rsid w:val="006A16FF"/>
    <w:rsid w:val="006C1FCF"/>
    <w:rsid w:val="007267A7"/>
    <w:rsid w:val="00862B61"/>
    <w:rsid w:val="00874345"/>
    <w:rsid w:val="008A1F3E"/>
    <w:rsid w:val="008B4673"/>
    <w:rsid w:val="00957076"/>
    <w:rsid w:val="009729E3"/>
    <w:rsid w:val="009B7DD2"/>
    <w:rsid w:val="00A02B8D"/>
    <w:rsid w:val="00A058BE"/>
    <w:rsid w:val="00A9651E"/>
    <w:rsid w:val="00AA1AB1"/>
    <w:rsid w:val="00AA3CDF"/>
    <w:rsid w:val="00AC145A"/>
    <w:rsid w:val="00AC4C62"/>
    <w:rsid w:val="00B06AE6"/>
    <w:rsid w:val="00B25E5E"/>
    <w:rsid w:val="00B91E95"/>
    <w:rsid w:val="00BC433C"/>
    <w:rsid w:val="00BE77BA"/>
    <w:rsid w:val="00CD1721"/>
    <w:rsid w:val="00CF6DDE"/>
    <w:rsid w:val="00D476EA"/>
    <w:rsid w:val="00D4798B"/>
    <w:rsid w:val="00D83426"/>
    <w:rsid w:val="00DB377E"/>
    <w:rsid w:val="00DE17C8"/>
    <w:rsid w:val="00E901E7"/>
    <w:rsid w:val="00F20F03"/>
    <w:rsid w:val="00F43118"/>
    <w:rsid w:val="00F634AC"/>
    <w:rsid w:val="00F86E37"/>
    <w:rsid w:val="00FB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0585D-8378-499C-99F2-0DAED75E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B8D"/>
    <w:rPr>
      <w:color w:val="0000FF"/>
      <w:u w:val="single"/>
    </w:rPr>
  </w:style>
  <w:style w:type="paragraph" w:styleId="ListParagraph">
    <w:name w:val="List Paragraph"/>
    <w:basedOn w:val="Normal"/>
    <w:uiPriority w:val="34"/>
    <w:qFormat/>
    <w:rsid w:val="00A02B8D"/>
    <w:pPr>
      <w:ind w:left="720"/>
      <w:contextualSpacing/>
    </w:pPr>
  </w:style>
  <w:style w:type="paragraph" w:styleId="Header">
    <w:name w:val="header"/>
    <w:basedOn w:val="Normal"/>
    <w:link w:val="HeaderChar"/>
    <w:uiPriority w:val="99"/>
    <w:unhideWhenUsed/>
    <w:rsid w:val="00A0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B8D"/>
  </w:style>
  <w:style w:type="paragraph" w:styleId="Footer">
    <w:name w:val="footer"/>
    <w:basedOn w:val="Normal"/>
    <w:link w:val="FooterChar"/>
    <w:uiPriority w:val="99"/>
    <w:unhideWhenUsed/>
    <w:rsid w:val="00A0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8D"/>
  </w:style>
  <w:style w:type="character" w:styleId="FollowedHyperlink">
    <w:name w:val="FollowedHyperlink"/>
    <w:basedOn w:val="DefaultParagraphFont"/>
    <w:uiPriority w:val="99"/>
    <w:semiHidden/>
    <w:unhideWhenUsed/>
    <w:rsid w:val="00B25E5E"/>
    <w:rPr>
      <w:color w:val="800080" w:themeColor="followedHyperlink"/>
      <w:u w:val="single"/>
    </w:rPr>
  </w:style>
  <w:style w:type="paragraph" w:styleId="BalloonText">
    <w:name w:val="Balloon Text"/>
    <w:basedOn w:val="Normal"/>
    <w:link w:val="BalloonTextChar"/>
    <w:uiPriority w:val="99"/>
    <w:semiHidden/>
    <w:unhideWhenUsed/>
    <w:rsid w:val="00AA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CDF"/>
    <w:rPr>
      <w:rFonts w:ascii="Tahoma" w:hAnsi="Tahoma" w:cs="Tahoma"/>
      <w:sz w:val="16"/>
      <w:szCs w:val="16"/>
    </w:rPr>
  </w:style>
  <w:style w:type="character" w:styleId="CommentReference">
    <w:name w:val="annotation reference"/>
    <w:basedOn w:val="DefaultParagraphFont"/>
    <w:uiPriority w:val="99"/>
    <w:semiHidden/>
    <w:unhideWhenUsed/>
    <w:rsid w:val="00957076"/>
    <w:rPr>
      <w:sz w:val="16"/>
      <w:szCs w:val="16"/>
    </w:rPr>
  </w:style>
  <w:style w:type="paragraph" w:styleId="CommentText">
    <w:name w:val="annotation text"/>
    <w:basedOn w:val="Normal"/>
    <w:link w:val="CommentTextChar"/>
    <w:uiPriority w:val="99"/>
    <w:semiHidden/>
    <w:unhideWhenUsed/>
    <w:rsid w:val="00957076"/>
    <w:pPr>
      <w:spacing w:line="240" w:lineRule="auto"/>
    </w:pPr>
    <w:rPr>
      <w:sz w:val="20"/>
      <w:szCs w:val="20"/>
    </w:rPr>
  </w:style>
  <w:style w:type="character" w:customStyle="1" w:styleId="CommentTextChar">
    <w:name w:val="Comment Text Char"/>
    <w:basedOn w:val="DefaultParagraphFont"/>
    <w:link w:val="CommentText"/>
    <w:uiPriority w:val="99"/>
    <w:semiHidden/>
    <w:rsid w:val="00957076"/>
    <w:rPr>
      <w:sz w:val="20"/>
      <w:szCs w:val="20"/>
    </w:rPr>
  </w:style>
  <w:style w:type="paragraph" w:styleId="CommentSubject">
    <w:name w:val="annotation subject"/>
    <w:basedOn w:val="CommentText"/>
    <w:next w:val="CommentText"/>
    <w:link w:val="CommentSubjectChar"/>
    <w:uiPriority w:val="99"/>
    <w:semiHidden/>
    <w:unhideWhenUsed/>
    <w:rsid w:val="00957076"/>
    <w:rPr>
      <w:b/>
      <w:bCs/>
    </w:rPr>
  </w:style>
  <w:style w:type="character" w:customStyle="1" w:styleId="CommentSubjectChar">
    <w:name w:val="Comment Subject Char"/>
    <w:basedOn w:val="CommentTextChar"/>
    <w:link w:val="CommentSubject"/>
    <w:uiPriority w:val="99"/>
    <w:semiHidden/>
    <w:rsid w:val="00957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5524">
      <w:bodyDiv w:val="1"/>
      <w:marLeft w:val="0"/>
      <w:marRight w:val="0"/>
      <w:marTop w:val="0"/>
      <w:marBottom w:val="0"/>
      <w:divBdr>
        <w:top w:val="none" w:sz="0" w:space="0" w:color="auto"/>
        <w:left w:val="none" w:sz="0" w:space="0" w:color="auto"/>
        <w:bottom w:val="none" w:sz="0" w:space="0" w:color="auto"/>
        <w:right w:val="none" w:sz="0" w:space="0" w:color="auto"/>
      </w:divBdr>
    </w:div>
    <w:div w:id="9951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alaska.edu/undergraduate-academic-affai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a.alaska.edu/undergraduate-academic-affairs/program-accreditation.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a.alaska.edu/undergraduate-academic-affairs/Accreditation/index.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aa.alaska.edu/governance/academic_assessment_committee/2014-assessment-seminar/index.cfm" TargetMode="External"/><Relationship Id="rId4" Type="http://schemas.openxmlformats.org/officeDocument/2006/relationships/settings" Target="settings.xml"/><Relationship Id="rId9" Type="http://schemas.openxmlformats.org/officeDocument/2006/relationships/hyperlink" Target="http://www.uaa.alaska.edu/academicaffairs/policy-procedures.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B5E42-F3D2-449D-90DF-84ABBDF2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Kalina</dc:creator>
  <cp:lastModifiedBy>Maria A Stroth</cp:lastModifiedBy>
  <cp:revision>7</cp:revision>
  <dcterms:created xsi:type="dcterms:W3CDTF">2014-08-29T00:29:00Z</dcterms:created>
  <dcterms:modified xsi:type="dcterms:W3CDTF">2014-08-29T16:27:00Z</dcterms:modified>
</cp:coreProperties>
</file>