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A" w:rsidRDefault="0011597A" w:rsidP="00AA3CDF">
      <w:pPr>
        <w:rPr>
          <w:rFonts w:ascii="Cambria" w:hAnsi="Cambria" w:cs="Times New Roman"/>
          <w:b/>
          <w:sz w:val="28"/>
        </w:rPr>
      </w:pPr>
    </w:p>
    <w:p w:rsidR="009729E3" w:rsidRPr="00BD3F5B" w:rsidRDefault="009729E3" w:rsidP="00BE77BA">
      <w:pPr>
        <w:shd w:val="clear" w:color="auto" w:fill="D6E3BC" w:themeFill="accent3" w:themeFillTint="66"/>
        <w:ind w:right="720"/>
        <w:rPr>
          <w:rFonts w:ascii="Cambria" w:hAnsi="Cambria" w:cs="Times New Roman"/>
          <w:b/>
          <w:sz w:val="28"/>
        </w:rPr>
      </w:pPr>
      <w:r w:rsidRPr="00BD3F5B">
        <w:rPr>
          <w:rFonts w:ascii="Cambria" w:hAnsi="Cambria" w:cs="Times New Roman"/>
          <w:b/>
          <w:sz w:val="28"/>
        </w:rPr>
        <w:t>Undergraduate Academic Affairs</w:t>
      </w:r>
    </w:p>
    <w:p w:rsidR="009C4EBE" w:rsidRDefault="009729E3" w:rsidP="009C4EBE">
      <w:pPr>
        <w:pStyle w:val="ListParagraph"/>
        <w:numPr>
          <w:ilvl w:val="0"/>
          <w:numId w:val="18"/>
        </w:numPr>
        <w:spacing w:after="160" w:line="259" w:lineRule="auto"/>
        <w:ind w:right="720"/>
        <w:rPr>
          <w:rFonts w:ascii="Cambria" w:hAnsi="Cambria" w:cs="Times New Roman"/>
        </w:rPr>
      </w:pPr>
      <w:r w:rsidRPr="009C4EBE">
        <w:rPr>
          <w:rFonts w:ascii="Cambria" w:hAnsi="Cambria" w:cs="Times New Roman"/>
        </w:rPr>
        <w:t xml:space="preserve">The Office of Undergraduate Academic Affairs (OUAA) </w:t>
      </w:r>
      <w:r w:rsidR="009C4EBE">
        <w:rPr>
          <w:rFonts w:ascii="Cambria" w:hAnsi="Cambria" w:cs="Times New Roman"/>
        </w:rPr>
        <w:t>website:</w:t>
      </w:r>
      <w:r w:rsidRPr="009C4EBE">
        <w:rPr>
          <w:rFonts w:ascii="Cambria" w:hAnsi="Cambria" w:cs="Times New Roman"/>
        </w:rPr>
        <w:t xml:space="preserve"> </w:t>
      </w:r>
    </w:p>
    <w:p w:rsidR="009729E3" w:rsidRPr="009C4EBE" w:rsidRDefault="00EF5837" w:rsidP="009C4EBE">
      <w:pPr>
        <w:pStyle w:val="ListParagraph"/>
        <w:spacing w:after="160" w:line="259" w:lineRule="auto"/>
        <w:ind w:left="1080" w:right="720"/>
        <w:rPr>
          <w:rFonts w:ascii="Cambria" w:hAnsi="Cambria" w:cs="Times New Roman"/>
        </w:rPr>
      </w:pPr>
      <w:hyperlink r:id="rId9" w:history="1">
        <w:r w:rsidR="009729E3" w:rsidRPr="009C4EBE">
          <w:rPr>
            <w:rStyle w:val="Hyperlink"/>
            <w:rFonts w:ascii="Cambria" w:hAnsi="Cambria" w:cs="Times New Roman"/>
          </w:rPr>
          <w:t>http://www.uaa.alaska.edu/undergraduate-academic-affairs</w:t>
        </w:r>
      </w:hyperlink>
    </w:p>
    <w:p w:rsidR="009729E3" w:rsidRPr="00BD3F5B" w:rsidRDefault="009729E3" w:rsidP="00BE77BA">
      <w:pPr>
        <w:shd w:val="clear" w:color="auto" w:fill="D6E3BC" w:themeFill="accent3" w:themeFillTint="66"/>
        <w:tabs>
          <w:tab w:val="center" w:pos="4680"/>
        </w:tabs>
        <w:ind w:right="720"/>
        <w:rPr>
          <w:rFonts w:ascii="Cambria" w:hAnsi="Cambria" w:cs="Times New Roman"/>
          <w:b/>
          <w:sz w:val="28"/>
        </w:rPr>
      </w:pPr>
      <w:r w:rsidRPr="00BD3F5B">
        <w:rPr>
          <w:rFonts w:ascii="Cambria" w:hAnsi="Cambria" w:cs="Times New Roman"/>
          <w:b/>
          <w:sz w:val="28"/>
        </w:rPr>
        <w:t>Academic Policy</w:t>
      </w:r>
      <w:r w:rsidR="00BE77BA">
        <w:rPr>
          <w:rFonts w:ascii="Cambria" w:hAnsi="Cambria" w:cs="Times New Roman"/>
          <w:b/>
          <w:sz w:val="28"/>
        </w:rPr>
        <w:tab/>
      </w:r>
    </w:p>
    <w:p w:rsidR="009729E3" w:rsidRPr="009C4EBE" w:rsidRDefault="009C4EBE" w:rsidP="009729E3">
      <w:pPr>
        <w:pStyle w:val="ListParagraph"/>
        <w:numPr>
          <w:ilvl w:val="0"/>
          <w:numId w:val="17"/>
        </w:numPr>
        <w:spacing w:after="160" w:line="259" w:lineRule="auto"/>
        <w:ind w:left="1080" w:right="720"/>
        <w:rPr>
          <w:rFonts w:ascii="Cambria" w:hAnsi="Cambria" w:cs="Times New Roman"/>
        </w:rPr>
      </w:pPr>
      <w:r w:rsidRPr="009C4EBE">
        <w:rPr>
          <w:rFonts w:ascii="Cambria" w:hAnsi="Cambria" w:cs="Times New Roman"/>
        </w:rPr>
        <w:t>A</w:t>
      </w:r>
      <w:r w:rsidR="009729E3" w:rsidRPr="009C4EBE">
        <w:rPr>
          <w:rFonts w:ascii="Cambria" w:hAnsi="Cambria" w:cs="Times New Roman"/>
        </w:rPr>
        <w:t xml:space="preserve">cademic affairs </w:t>
      </w:r>
      <w:r>
        <w:rPr>
          <w:rFonts w:ascii="Cambria" w:hAnsi="Cambria" w:cs="Times New Roman"/>
        </w:rPr>
        <w:t>related policies and procedures:</w:t>
      </w:r>
      <w:r w:rsidR="009729E3" w:rsidRPr="009C4EBE">
        <w:rPr>
          <w:rFonts w:ascii="Cambria" w:hAnsi="Cambria" w:cs="Times New Roman"/>
        </w:rPr>
        <w:t xml:space="preserve"> </w:t>
      </w:r>
    </w:p>
    <w:p w:rsidR="009729E3" w:rsidRDefault="00EF5837" w:rsidP="009729E3">
      <w:pPr>
        <w:pStyle w:val="ListParagraph"/>
        <w:ind w:left="1080" w:right="720"/>
        <w:rPr>
          <w:rFonts w:ascii="Cambria" w:hAnsi="Cambria" w:cs="Times New Roman"/>
        </w:rPr>
      </w:pPr>
      <w:hyperlink r:id="rId10" w:history="1">
        <w:r w:rsidR="009729E3" w:rsidRPr="00EE5673">
          <w:rPr>
            <w:rStyle w:val="Hyperlink"/>
            <w:rFonts w:ascii="Cambria" w:hAnsi="Cambria" w:cs="Times New Roman"/>
          </w:rPr>
          <w:t>http://www.uaa.alaska.edu/academicaffairs/policy-procedures.cfm</w:t>
        </w:r>
      </w:hyperlink>
      <w:r w:rsidR="009729E3">
        <w:rPr>
          <w:rFonts w:ascii="Cambria" w:hAnsi="Cambria" w:cs="Times New Roman"/>
        </w:rPr>
        <w:t xml:space="preserve"> </w:t>
      </w:r>
    </w:p>
    <w:p w:rsidR="00DA0E67" w:rsidRDefault="00DA0E67" w:rsidP="00DA0E67">
      <w:pPr>
        <w:pStyle w:val="ListParagraph"/>
        <w:numPr>
          <w:ilvl w:val="0"/>
          <w:numId w:val="17"/>
        </w:numPr>
        <w:ind w:left="1080" w:right="720"/>
        <w:rPr>
          <w:rFonts w:ascii="Cambria" w:hAnsi="Cambria" w:cs="Times New Roman"/>
        </w:rPr>
      </w:pPr>
      <w:r w:rsidRPr="002B04B9">
        <w:rPr>
          <w:rFonts w:ascii="Cambria" w:hAnsi="Cambria" w:cs="Times New Roman"/>
          <w:b/>
        </w:rPr>
        <w:t>Credit Hour Review Process</w:t>
      </w:r>
      <w:r>
        <w:rPr>
          <w:rFonts w:ascii="Cambria" w:hAnsi="Cambria" w:cs="Times New Roman"/>
        </w:rPr>
        <w:t xml:space="preserve">: </w:t>
      </w:r>
      <w:r w:rsidR="002B04B9">
        <w:rPr>
          <w:rFonts w:ascii="Cambria" w:hAnsi="Cambria" w:cs="Times New Roman"/>
        </w:rPr>
        <w:t xml:space="preserve">In </w:t>
      </w:r>
      <w:r w:rsidR="007B22FA">
        <w:rPr>
          <w:rFonts w:ascii="Cambria" w:hAnsi="Cambria" w:cs="Times New Roman"/>
        </w:rPr>
        <w:t xml:space="preserve">response to a new NWCCU policy on credit hours, an </w:t>
      </w:r>
      <w:r w:rsidR="002B04B9">
        <w:rPr>
          <w:rFonts w:ascii="Cambria" w:hAnsi="Cambria" w:cs="Times New Roman"/>
        </w:rPr>
        <w:t>AY14 subcommittee of the UAB and GAB reco</w:t>
      </w:r>
      <w:r w:rsidR="007B22FA">
        <w:rPr>
          <w:rFonts w:ascii="Cambria" w:hAnsi="Cambria" w:cs="Times New Roman"/>
        </w:rPr>
        <w:t xml:space="preserve">mmended a process to review class </w:t>
      </w:r>
      <w:r w:rsidR="002B04B9">
        <w:rPr>
          <w:rFonts w:ascii="Cambria" w:hAnsi="Cambria" w:cs="Times New Roman"/>
        </w:rPr>
        <w:t>sched</w:t>
      </w:r>
      <w:r w:rsidR="007B22FA">
        <w:rPr>
          <w:rFonts w:ascii="Cambria" w:hAnsi="Cambria" w:cs="Times New Roman"/>
        </w:rPr>
        <w:t xml:space="preserve">uling practices relative to </w:t>
      </w:r>
      <w:r w:rsidR="002B04B9">
        <w:rPr>
          <w:rFonts w:ascii="Cambria" w:hAnsi="Cambria" w:cs="Times New Roman"/>
        </w:rPr>
        <w:t xml:space="preserve">approved </w:t>
      </w:r>
      <w:r w:rsidR="00EF5837">
        <w:rPr>
          <w:rFonts w:ascii="Cambria" w:hAnsi="Cambria" w:cs="Times New Roman"/>
        </w:rPr>
        <w:t>CAR/CCG</w:t>
      </w:r>
      <w:r w:rsidR="007B22FA">
        <w:rPr>
          <w:rFonts w:ascii="Cambria" w:hAnsi="Cambria" w:cs="Times New Roman"/>
        </w:rPr>
        <w:t xml:space="preserve"> </w:t>
      </w:r>
      <w:r w:rsidR="002B04B9">
        <w:rPr>
          <w:rFonts w:ascii="Cambria" w:hAnsi="Cambria" w:cs="Times New Roman"/>
        </w:rPr>
        <w:t xml:space="preserve">credit hours.  In </w:t>
      </w:r>
      <w:proofErr w:type="gramStart"/>
      <w:r w:rsidR="002B04B9">
        <w:rPr>
          <w:rFonts w:ascii="Cambria" w:hAnsi="Cambria" w:cs="Times New Roman"/>
        </w:rPr>
        <w:t>Fall</w:t>
      </w:r>
      <w:proofErr w:type="gramEnd"/>
      <w:r w:rsidR="002B04B9">
        <w:rPr>
          <w:rFonts w:ascii="Cambria" w:hAnsi="Cambria" w:cs="Times New Roman"/>
        </w:rPr>
        <w:t xml:space="preserve"> 2014 UAA ran a pilot, which</w:t>
      </w:r>
      <w:r>
        <w:rPr>
          <w:rFonts w:ascii="Cambria" w:hAnsi="Cambria" w:cs="Times New Roman"/>
        </w:rPr>
        <w:t xml:space="preserve"> focused on traditional face-to-f</w:t>
      </w:r>
      <w:r w:rsidR="002B04B9">
        <w:rPr>
          <w:rFonts w:ascii="Cambria" w:hAnsi="Cambria" w:cs="Times New Roman"/>
        </w:rPr>
        <w:t xml:space="preserve">ace offerings.  The Registrar’s Office put together a spreadsheet of courses </w:t>
      </w:r>
      <w:r w:rsidR="000D5623">
        <w:rPr>
          <w:rFonts w:ascii="Cambria" w:hAnsi="Cambria" w:cs="Times New Roman"/>
        </w:rPr>
        <w:t>appearing to be</w:t>
      </w:r>
      <w:r w:rsidR="002B04B9">
        <w:rPr>
          <w:rFonts w:ascii="Cambria" w:hAnsi="Cambria" w:cs="Times New Roman"/>
        </w:rPr>
        <w:t xml:space="preserve"> </w:t>
      </w:r>
      <w:r w:rsidR="007B22FA">
        <w:rPr>
          <w:rFonts w:ascii="Cambria" w:hAnsi="Cambria" w:cs="Times New Roman"/>
        </w:rPr>
        <w:t xml:space="preserve">face-to-face, but possibly not </w:t>
      </w:r>
      <w:r w:rsidR="002B04B9">
        <w:rPr>
          <w:rFonts w:ascii="Cambria" w:hAnsi="Cambria" w:cs="Times New Roman"/>
        </w:rPr>
        <w:t>meeting the correct contact hour minimum</w:t>
      </w:r>
      <w:r w:rsidR="000D5623">
        <w:rPr>
          <w:rFonts w:ascii="Cambria" w:hAnsi="Cambria" w:cs="Times New Roman"/>
        </w:rPr>
        <w:t>s</w:t>
      </w:r>
      <w:r w:rsidR="002B04B9">
        <w:rPr>
          <w:rFonts w:ascii="Cambria" w:hAnsi="Cambria" w:cs="Times New Roman"/>
        </w:rPr>
        <w:t>.  A</w:t>
      </w:r>
      <w:r>
        <w:rPr>
          <w:rFonts w:ascii="Cambria" w:hAnsi="Cambria" w:cs="Times New Roman"/>
        </w:rPr>
        <w:t xml:space="preserve"> total of 143 </w:t>
      </w:r>
      <w:r w:rsidR="007B22FA">
        <w:rPr>
          <w:rFonts w:ascii="Cambria" w:hAnsi="Cambria" w:cs="Times New Roman"/>
        </w:rPr>
        <w:t>course sections</w:t>
      </w:r>
      <w:r>
        <w:rPr>
          <w:rFonts w:ascii="Cambria" w:hAnsi="Cambria" w:cs="Times New Roman"/>
        </w:rPr>
        <w:t xml:space="preserve"> were sent to the colleges </w:t>
      </w:r>
      <w:r w:rsidR="007B22FA">
        <w:rPr>
          <w:rFonts w:ascii="Cambria" w:hAnsi="Cambria" w:cs="Times New Roman"/>
        </w:rPr>
        <w:t>for review</w:t>
      </w:r>
      <w:r>
        <w:rPr>
          <w:rFonts w:ascii="Cambria" w:hAnsi="Cambria" w:cs="Times New Roman"/>
        </w:rPr>
        <w:t xml:space="preserve">.  </w:t>
      </w:r>
      <w:r w:rsidR="000D5623">
        <w:rPr>
          <w:rFonts w:ascii="Cambria" w:hAnsi="Cambria" w:cs="Times New Roman"/>
          <w:u w:val="single"/>
        </w:rPr>
        <w:t>Findings and Actions</w:t>
      </w:r>
      <w:r w:rsidR="000D5623">
        <w:rPr>
          <w:rFonts w:ascii="Cambria" w:hAnsi="Cambria" w:cs="Times New Roman"/>
        </w:rPr>
        <w:t xml:space="preserve">: Most of the </w:t>
      </w:r>
      <w:r w:rsidR="007B22FA">
        <w:rPr>
          <w:rFonts w:ascii="Cambria" w:hAnsi="Cambria" w:cs="Times New Roman"/>
        </w:rPr>
        <w:t>courses integrated</w:t>
      </w:r>
      <w:r>
        <w:rPr>
          <w:rFonts w:ascii="Cambria" w:hAnsi="Cambria" w:cs="Times New Roman"/>
        </w:rPr>
        <w:t xml:space="preserve"> nontraditional components, such as a practicum or 0-credit lab</w:t>
      </w:r>
      <w:r w:rsidR="007B22FA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and were found to be in compliance.  </w:t>
      </w:r>
      <w:r w:rsidR="007B22FA">
        <w:rPr>
          <w:rFonts w:ascii="Cambria" w:hAnsi="Cambria" w:cs="Times New Roman"/>
        </w:rPr>
        <w:t>Sixteen</w:t>
      </w:r>
      <w:r>
        <w:rPr>
          <w:rFonts w:ascii="Cambria" w:hAnsi="Cambria" w:cs="Times New Roman"/>
        </w:rPr>
        <w:t xml:space="preserve"> </w:t>
      </w:r>
      <w:r w:rsidR="00EF5837">
        <w:rPr>
          <w:rFonts w:ascii="Cambria" w:hAnsi="Cambria" w:cs="Times New Roman"/>
        </w:rPr>
        <w:t xml:space="preserve">sections </w:t>
      </w:r>
      <w:r>
        <w:rPr>
          <w:rFonts w:ascii="Cambria" w:hAnsi="Cambria" w:cs="Times New Roman"/>
        </w:rPr>
        <w:t xml:space="preserve">were </w:t>
      </w:r>
      <w:r w:rsidR="00EF5837">
        <w:rPr>
          <w:rFonts w:ascii="Cambria" w:hAnsi="Cambria" w:cs="Times New Roman"/>
        </w:rPr>
        <w:t xml:space="preserve">rescheduled to meet the required contact hours.  In addition, </w:t>
      </w:r>
      <w:r w:rsidR="005A2A6D">
        <w:rPr>
          <w:rFonts w:ascii="Cambria" w:hAnsi="Cambria" w:cs="Times New Roman"/>
        </w:rPr>
        <w:t>departments</w:t>
      </w:r>
      <w:r>
        <w:rPr>
          <w:rFonts w:ascii="Cambria" w:hAnsi="Cambria" w:cs="Times New Roman"/>
        </w:rPr>
        <w:t xml:space="preserve"> </w:t>
      </w:r>
      <w:r w:rsidR="00EF5837">
        <w:rPr>
          <w:rFonts w:ascii="Cambria" w:hAnsi="Cambria" w:cs="Times New Roman"/>
        </w:rPr>
        <w:t xml:space="preserve">are </w:t>
      </w:r>
      <w:r>
        <w:rPr>
          <w:rFonts w:ascii="Cambria" w:hAnsi="Cambria" w:cs="Times New Roman"/>
        </w:rPr>
        <w:t xml:space="preserve">planning </w:t>
      </w:r>
      <w:r w:rsidR="005A2A6D">
        <w:rPr>
          <w:rFonts w:ascii="Cambria" w:hAnsi="Cambria" w:cs="Times New Roman"/>
        </w:rPr>
        <w:t xml:space="preserve">to </w:t>
      </w:r>
      <w:r w:rsidR="00EF5837">
        <w:rPr>
          <w:rFonts w:ascii="Cambria" w:hAnsi="Cambria" w:cs="Times New Roman"/>
        </w:rPr>
        <w:t>revise</w:t>
      </w:r>
      <w:r w:rsidR="005A2A6D">
        <w:rPr>
          <w:rFonts w:ascii="Cambria" w:hAnsi="Cambria" w:cs="Times New Roman"/>
        </w:rPr>
        <w:t xml:space="preserve"> the curriculum documents for nine courses in order</w:t>
      </w:r>
      <w:r w:rsidR="00071AE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to reflect current practice.</w:t>
      </w:r>
      <w:bookmarkStart w:id="0" w:name="_GoBack"/>
      <w:bookmarkEnd w:id="0"/>
    </w:p>
    <w:p w:rsidR="009729E3" w:rsidRPr="00BD3F5B" w:rsidRDefault="009729E3" w:rsidP="00BE77BA">
      <w:pPr>
        <w:shd w:val="clear" w:color="auto" w:fill="D6E3BC" w:themeFill="accent3" w:themeFillTint="66"/>
        <w:ind w:right="720"/>
        <w:rPr>
          <w:rFonts w:ascii="Cambria" w:hAnsi="Cambria" w:cs="Times New Roman"/>
          <w:b/>
          <w:sz w:val="28"/>
        </w:rPr>
      </w:pPr>
      <w:r w:rsidRPr="00BD3F5B">
        <w:rPr>
          <w:rFonts w:ascii="Cambria" w:hAnsi="Cambria" w:cs="Times New Roman"/>
          <w:b/>
          <w:sz w:val="28"/>
        </w:rPr>
        <w:t>Academic Assessment</w:t>
      </w:r>
    </w:p>
    <w:p w:rsidR="009729E3" w:rsidRPr="003D7A26" w:rsidRDefault="003D7A26" w:rsidP="009729E3">
      <w:pPr>
        <w:pStyle w:val="ListParagraph"/>
        <w:numPr>
          <w:ilvl w:val="0"/>
          <w:numId w:val="17"/>
        </w:numPr>
        <w:spacing w:after="160" w:line="259" w:lineRule="auto"/>
        <w:ind w:left="1080" w:right="720"/>
        <w:rPr>
          <w:rFonts w:ascii="Cambria" w:hAnsi="Cambria" w:cs="Times New Roman"/>
        </w:rPr>
      </w:pPr>
      <w:r w:rsidRPr="003D7A26">
        <w:rPr>
          <w:rFonts w:ascii="Cambria" w:hAnsi="Cambria" w:cs="Times New Roman"/>
        </w:rPr>
        <w:t>The</w:t>
      </w:r>
      <w:r w:rsidR="009729E3" w:rsidRPr="003D7A26">
        <w:rPr>
          <w:rFonts w:ascii="Cambria" w:hAnsi="Cambria" w:cs="Times New Roman"/>
        </w:rPr>
        <w:t xml:space="preserve"> 2</w:t>
      </w:r>
      <w:r w:rsidR="009729E3" w:rsidRPr="003D7A26">
        <w:rPr>
          <w:rFonts w:ascii="Cambria" w:hAnsi="Cambria" w:cs="Times New Roman"/>
          <w:vertAlign w:val="superscript"/>
        </w:rPr>
        <w:t>nd</w:t>
      </w:r>
      <w:r w:rsidR="009729E3" w:rsidRPr="003D7A26">
        <w:rPr>
          <w:rFonts w:ascii="Cambria" w:hAnsi="Cambria" w:cs="Times New Roman"/>
        </w:rPr>
        <w:t xml:space="preserve"> Annual Academic Assessment Seminar</w:t>
      </w:r>
      <w:r w:rsidRPr="003D7A26">
        <w:rPr>
          <w:rFonts w:ascii="Cambria" w:hAnsi="Cambria" w:cs="Times New Roman"/>
        </w:rPr>
        <w:t xml:space="preserve"> was a great success with over 80 faculty, staff, and administrators in attendance.</w:t>
      </w:r>
      <w:r>
        <w:rPr>
          <w:rFonts w:ascii="Cambria" w:hAnsi="Cambria" w:cs="Times New Roman"/>
        </w:rPr>
        <w:t xml:space="preserve">  The keynote speaker was very complimentary about UAA’s approach and progress.  </w:t>
      </w:r>
      <w:r w:rsidRPr="009C4EBE">
        <w:rPr>
          <w:rFonts w:ascii="Cambria" w:hAnsi="Cambria" w:cs="Times New Roman"/>
          <w:i/>
        </w:rPr>
        <w:t>Thanks to everyone for their ongoing efforts!</w:t>
      </w:r>
      <w:r w:rsidR="009729E3" w:rsidRPr="009C4EBE">
        <w:rPr>
          <w:rFonts w:ascii="Cambria" w:hAnsi="Cambria" w:cs="Times New Roman"/>
          <w:i/>
        </w:rPr>
        <w:br/>
      </w:r>
    </w:p>
    <w:p w:rsidR="009729E3" w:rsidRPr="009729E3" w:rsidRDefault="009729E3" w:rsidP="009729E3">
      <w:pPr>
        <w:pStyle w:val="ListParagraph"/>
        <w:ind w:left="1080" w:right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Visit the Academic Assessment Committee’s website for more information: </w:t>
      </w:r>
      <w:hyperlink r:id="rId11" w:history="1">
        <w:r w:rsidRPr="007E389C">
          <w:rPr>
            <w:rStyle w:val="Hyperlink"/>
            <w:rFonts w:ascii="Cambria" w:hAnsi="Cambria" w:cs="Times New Roman"/>
          </w:rPr>
          <w:t>http://www.uaa.alaska.edu/governance/academic_assessment_committee/2014-assessment-seminar/index.cfm</w:t>
        </w:r>
      </w:hyperlink>
      <w:r>
        <w:rPr>
          <w:rFonts w:ascii="Cambria" w:hAnsi="Cambria" w:cs="Times New Roman"/>
        </w:rPr>
        <w:t xml:space="preserve"> </w:t>
      </w:r>
    </w:p>
    <w:p w:rsidR="009729E3" w:rsidRDefault="009729E3" w:rsidP="0012259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729E3" w:rsidRPr="00BD3F5B" w:rsidRDefault="009729E3" w:rsidP="00BE77BA">
      <w:pPr>
        <w:shd w:val="clear" w:color="auto" w:fill="D6E3BC" w:themeFill="accent3" w:themeFillTint="66"/>
        <w:ind w:right="720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>Program Approval Status</w:t>
      </w:r>
    </w:p>
    <w:p w:rsidR="00A02B8D" w:rsidRPr="00AC145A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389"/>
        <w:gridCol w:w="816"/>
        <w:gridCol w:w="963"/>
        <w:gridCol w:w="1649"/>
        <w:gridCol w:w="1620"/>
        <w:gridCol w:w="1274"/>
      </w:tblGrid>
      <w:tr w:rsidR="000748E9" w:rsidRPr="00DB377E" w:rsidTr="003518C5">
        <w:trPr>
          <w:cantSplit/>
          <w:trHeight w:val="512"/>
          <w:tblHeader/>
          <w:jc w:val="center"/>
        </w:trPr>
        <w:tc>
          <w:tcPr>
            <w:tcW w:w="1218" w:type="dxa"/>
            <w:shd w:val="clear" w:color="000000" w:fill="D9D9D9"/>
            <w:vAlign w:val="center"/>
            <w:hideMark/>
          </w:tcPr>
          <w:p w:rsidR="000748E9" w:rsidRPr="00DB377E" w:rsidRDefault="000748E9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Unit</w:t>
            </w:r>
          </w:p>
        </w:tc>
        <w:tc>
          <w:tcPr>
            <w:tcW w:w="2389" w:type="dxa"/>
            <w:shd w:val="clear" w:color="000000" w:fill="D9D9D9"/>
            <w:vAlign w:val="center"/>
            <w:hideMark/>
          </w:tcPr>
          <w:p w:rsidR="000748E9" w:rsidRPr="00DB377E" w:rsidRDefault="000748E9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Program</w:t>
            </w:r>
          </w:p>
        </w:tc>
        <w:tc>
          <w:tcPr>
            <w:tcW w:w="816" w:type="dxa"/>
            <w:shd w:val="clear" w:color="000000" w:fill="D9D9D9"/>
            <w:vAlign w:val="center"/>
            <w:hideMark/>
          </w:tcPr>
          <w:p w:rsidR="000748E9" w:rsidRPr="00DB377E" w:rsidRDefault="000748E9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Level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0748E9" w:rsidRPr="00DB377E" w:rsidRDefault="000748E9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Type</w:t>
            </w:r>
          </w:p>
        </w:tc>
        <w:tc>
          <w:tcPr>
            <w:tcW w:w="1649" w:type="dxa"/>
            <w:shd w:val="clear" w:color="000000" w:fill="D9D9D9"/>
            <w:vAlign w:val="center"/>
            <w:hideMark/>
          </w:tcPr>
          <w:p w:rsidR="000748E9" w:rsidRPr="00DB377E" w:rsidRDefault="000748E9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Status</w:t>
            </w:r>
          </w:p>
        </w:tc>
        <w:tc>
          <w:tcPr>
            <w:tcW w:w="1620" w:type="dxa"/>
            <w:shd w:val="clear" w:color="000000" w:fill="D9D9D9"/>
            <w:vAlign w:val="center"/>
          </w:tcPr>
          <w:p w:rsidR="000748E9" w:rsidRPr="00DB377E" w:rsidRDefault="000748E9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BOR</w:t>
            </w:r>
            <w:r w:rsidRPr="00DB37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Approval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0748E9" w:rsidRPr="00DB377E" w:rsidRDefault="000748E9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NWCCU Approval</w:t>
            </w:r>
          </w:p>
        </w:tc>
      </w:tr>
      <w:tr w:rsidR="000748E9" w:rsidRPr="00DB377E" w:rsidTr="003518C5">
        <w:trPr>
          <w:cantSplit/>
          <w:trHeight w:val="593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COH</w:t>
            </w:r>
          </w:p>
        </w:tc>
        <w:tc>
          <w:tcPr>
            <w:tcW w:w="2389" w:type="dxa"/>
            <w:shd w:val="clear" w:color="auto" w:fill="FFFF00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Nursing Practice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DNP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sz w:val="21"/>
                <w:szCs w:val="21"/>
              </w:rPr>
              <w:t>New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Awaiting BOR</w:t>
            </w:r>
          </w:p>
        </w:tc>
        <w:tc>
          <w:tcPr>
            <w:tcW w:w="1620" w:type="dxa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Tent. Scheduled Dec 2014</w:t>
            </w:r>
          </w:p>
        </w:tc>
        <w:tc>
          <w:tcPr>
            <w:tcW w:w="1274" w:type="dxa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34F8C" w:rsidRPr="00DB377E" w:rsidTr="00CC6098">
        <w:trPr>
          <w:cantSplit/>
          <w:trHeight w:val="593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E34F8C" w:rsidRPr="00DB377E" w:rsidRDefault="00E34F8C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sz w:val="21"/>
                <w:szCs w:val="21"/>
              </w:rPr>
              <w:t>COE</w:t>
            </w:r>
          </w:p>
        </w:tc>
        <w:tc>
          <w:tcPr>
            <w:tcW w:w="2389" w:type="dxa"/>
            <w:shd w:val="clear" w:color="auto" w:fill="FFFF00"/>
            <w:vAlign w:val="center"/>
          </w:tcPr>
          <w:p w:rsidR="00E34F8C" w:rsidRPr="00DB377E" w:rsidRDefault="00E34F8C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sz w:val="21"/>
                <w:szCs w:val="21"/>
              </w:rPr>
              <w:t>Speech/Language Pathology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34F8C" w:rsidRPr="00DB377E" w:rsidRDefault="00E34F8C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sz w:val="21"/>
                <w:szCs w:val="21"/>
              </w:rPr>
              <w:t>PBC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4F8C" w:rsidRPr="00DB377E" w:rsidRDefault="00E34F8C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sz w:val="21"/>
                <w:szCs w:val="21"/>
              </w:rPr>
              <w:t>New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34F8C" w:rsidRPr="00DB377E" w:rsidRDefault="00E34F8C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Awaiting NWCCU</w:t>
            </w:r>
          </w:p>
        </w:tc>
        <w:tc>
          <w:tcPr>
            <w:tcW w:w="1620" w:type="dxa"/>
            <w:vAlign w:val="center"/>
          </w:tcPr>
          <w:p w:rsidR="00E34F8C" w:rsidRPr="00DB377E" w:rsidRDefault="00E34F8C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9/19/14</w:t>
            </w:r>
          </w:p>
        </w:tc>
        <w:tc>
          <w:tcPr>
            <w:tcW w:w="1274" w:type="dxa"/>
            <w:vAlign w:val="center"/>
          </w:tcPr>
          <w:p w:rsidR="00E34F8C" w:rsidRPr="00DB377E" w:rsidRDefault="00E34F8C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Sent to NWCCU 9/23/14</w:t>
            </w:r>
          </w:p>
        </w:tc>
      </w:tr>
      <w:tr w:rsidR="0007685A" w:rsidRPr="00DB377E" w:rsidTr="00CC6098">
        <w:trPr>
          <w:cantSplit/>
          <w:trHeight w:val="660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07685A" w:rsidRPr="00DB377E" w:rsidRDefault="0007685A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CBPP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7685A" w:rsidRPr="00673E63" w:rsidRDefault="0007685A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3E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Supply Chain Management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7685A" w:rsidRPr="00DB377E" w:rsidRDefault="0007685A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7685A" w:rsidRPr="00DB377E" w:rsidRDefault="0007685A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Delete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7685A" w:rsidRPr="00DB377E" w:rsidRDefault="0007685A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Approved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685A" w:rsidRPr="00DB377E" w:rsidRDefault="0007685A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6/6/14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7685A" w:rsidRPr="00DB377E" w:rsidRDefault="0007685A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9/9/14</w:t>
            </w:r>
          </w:p>
        </w:tc>
      </w:tr>
      <w:tr w:rsidR="003518C5" w:rsidRPr="00DB377E" w:rsidTr="00673E63">
        <w:trPr>
          <w:cantSplit/>
          <w:trHeight w:val="350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COH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748E9" w:rsidRPr="00673E63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3E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Human Services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Minor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sz w:val="21"/>
                <w:szCs w:val="21"/>
              </w:rPr>
              <w:t>New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Approved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9/5/14</w:t>
            </w:r>
          </w:p>
        </w:tc>
      </w:tr>
      <w:tr w:rsidR="003518C5" w:rsidRPr="00DB377E" w:rsidTr="00673E63">
        <w:trPr>
          <w:cantSplit/>
          <w:trHeight w:val="330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sz w:val="21"/>
                <w:szCs w:val="21"/>
              </w:rPr>
              <w:t>CTC/KPC/</w:t>
            </w:r>
            <w:r w:rsidRPr="00DB377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KOD/MSC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748E9" w:rsidRPr="00673E63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3E63">
              <w:rPr>
                <w:rFonts w:ascii="Times New Roman" w:eastAsia="Times New Roman" w:hAnsi="Times New Roman" w:cs="Times New Roman"/>
                <w:sz w:val="21"/>
                <w:szCs w:val="21"/>
              </w:rPr>
              <w:t>Computer Information &amp; Office Systems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DB377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Delete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Approved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6/6/14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748E9" w:rsidRPr="00DB377E" w:rsidRDefault="000748E9" w:rsidP="00C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9/5/14</w:t>
            </w:r>
          </w:p>
        </w:tc>
      </w:tr>
      <w:tr w:rsidR="000748E9" w:rsidRPr="00DB377E" w:rsidTr="003518C5">
        <w:trPr>
          <w:cantSplit/>
          <w:trHeight w:val="593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MSC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748E9" w:rsidRPr="00DB377E" w:rsidRDefault="000748E9" w:rsidP="007A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Architectural &amp; Engineering Technology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AAS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748E9" w:rsidRPr="006F3155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6F315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Delete Location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748E9" w:rsidRPr="00DB377E" w:rsidRDefault="000748E9" w:rsidP="006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Approved</w:t>
            </w:r>
          </w:p>
        </w:tc>
        <w:tc>
          <w:tcPr>
            <w:tcW w:w="1620" w:type="dxa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  <w:tc>
          <w:tcPr>
            <w:tcW w:w="1274" w:type="dxa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</w:tr>
      <w:tr w:rsidR="000748E9" w:rsidRPr="00DB377E" w:rsidTr="003518C5">
        <w:trPr>
          <w:cantSplit/>
          <w:trHeight w:val="593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MSC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748E9" w:rsidRPr="00DB377E" w:rsidRDefault="000748E9" w:rsidP="007A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Architectural Drafting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748E9" w:rsidRPr="006F3155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6F315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Delete Location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748E9" w:rsidRDefault="000748E9" w:rsidP="00AA1793">
            <w:pPr>
              <w:jc w:val="center"/>
            </w:pPr>
            <w:r w:rsidRPr="006300C1">
              <w:rPr>
                <w:rFonts w:ascii="Times New Roman" w:eastAsia="Times New Roman" w:hAnsi="Times New Roman" w:cs="Times New Roman"/>
                <w:sz w:val="21"/>
                <w:szCs w:val="21"/>
              </w:rPr>
              <w:t>Approved</w:t>
            </w:r>
          </w:p>
        </w:tc>
        <w:tc>
          <w:tcPr>
            <w:tcW w:w="1620" w:type="dxa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  <w:tc>
          <w:tcPr>
            <w:tcW w:w="1274" w:type="dxa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</w:tr>
      <w:tr w:rsidR="000748E9" w:rsidRPr="00DB377E" w:rsidTr="003518C5">
        <w:trPr>
          <w:cantSplit/>
          <w:trHeight w:val="593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MSC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748E9" w:rsidRPr="00DB377E" w:rsidRDefault="000748E9" w:rsidP="007A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CAD for Building Construction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OEC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748E9" w:rsidRPr="006F3155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6F315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Delete Location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748E9" w:rsidRDefault="000748E9" w:rsidP="00AA1793">
            <w:pPr>
              <w:jc w:val="center"/>
            </w:pPr>
            <w:r w:rsidRPr="006300C1">
              <w:rPr>
                <w:rFonts w:ascii="Times New Roman" w:eastAsia="Times New Roman" w:hAnsi="Times New Roman" w:cs="Times New Roman"/>
                <w:sz w:val="21"/>
                <w:szCs w:val="21"/>
              </w:rPr>
              <w:t>Approved</w:t>
            </w:r>
          </w:p>
        </w:tc>
        <w:tc>
          <w:tcPr>
            <w:tcW w:w="1620" w:type="dxa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  <w:tc>
          <w:tcPr>
            <w:tcW w:w="1274" w:type="dxa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</w:tr>
      <w:tr w:rsidR="000748E9" w:rsidRPr="00DB377E" w:rsidTr="003518C5">
        <w:trPr>
          <w:cantSplit/>
          <w:trHeight w:val="59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MSC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DB377E" w:rsidRDefault="000748E9" w:rsidP="007A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Civil Drafting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6F3155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6F315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Delete Location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Default="000748E9" w:rsidP="00AA1793">
            <w:pPr>
              <w:jc w:val="center"/>
            </w:pPr>
            <w:r w:rsidRPr="006300C1">
              <w:rPr>
                <w:rFonts w:ascii="Times New Roman" w:eastAsia="Times New Roman" w:hAnsi="Times New Roman" w:cs="Times New Roman"/>
                <w:sz w:val="21"/>
                <w:szCs w:val="21"/>
              </w:rPr>
              <w:t>Approved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</w:tr>
      <w:tr w:rsidR="000748E9" w:rsidRPr="00DB377E" w:rsidTr="003518C5">
        <w:trPr>
          <w:cantSplit/>
          <w:trHeight w:val="59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MSC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DB377E" w:rsidRDefault="000748E9" w:rsidP="007A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Mechanical &amp; Electrical Drafting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6F3155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6F315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Delete Location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Default="000748E9" w:rsidP="00AA1793">
            <w:pPr>
              <w:jc w:val="center"/>
            </w:pPr>
            <w:r w:rsidRPr="006300C1">
              <w:rPr>
                <w:rFonts w:ascii="Times New Roman" w:eastAsia="Times New Roman" w:hAnsi="Times New Roman" w:cs="Times New Roman"/>
                <w:sz w:val="21"/>
                <w:szCs w:val="21"/>
              </w:rPr>
              <w:t>Approved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</w:tr>
      <w:tr w:rsidR="000748E9" w:rsidRPr="00DB377E" w:rsidTr="003518C5">
        <w:trPr>
          <w:cantSplit/>
          <w:trHeight w:val="59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MSC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DB377E" w:rsidRDefault="000748E9" w:rsidP="007A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Structural Drafting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Pr="006F3155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6F315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Delete Location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E9" w:rsidRDefault="000748E9" w:rsidP="00AA1793">
            <w:pPr>
              <w:jc w:val="center"/>
            </w:pPr>
            <w:r w:rsidRPr="006300C1">
              <w:rPr>
                <w:rFonts w:ascii="Times New Roman" w:eastAsia="Times New Roman" w:hAnsi="Times New Roman" w:cs="Times New Roman"/>
                <w:sz w:val="21"/>
                <w:szCs w:val="21"/>
              </w:rPr>
              <w:t>Approved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E9" w:rsidRPr="00DB377E" w:rsidRDefault="000748E9" w:rsidP="00E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Preparing Notification</w:t>
            </w:r>
          </w:p>
        </w:tc>
      </w:tr>
    </w:tbl>
    <w:p w:rsidR="00313C6E" w:rsidRDefault="00313C6E" w:rsidP="00313C6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A02B8D" w:rsidRPr="00AC145A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729E3" w:rsidRPr="009729E3" w:rsidRDefault="009729E3" w:rsidP="00BE77BA">
      <w:pPr>
        <w:shd w:val="clear" w:color="auto" w:fill="D6E3BC" w:themeFill="accent3" w:themeFillTint="66"/>
        <w:tabs>
          <w:tab w:val="left" w:pos="3000"/>
        </w:tabs>
        <w:ind w:right="720"/>
        <w:rPr>
          <w:rFonts w:ascii="Cambria" w:hAnsi="Cambria" w:cs="Times New Roman"/>
          <w:b/>
          <w:sz w:val="28"/>
        </w:rPr>
      </w:pPr>
      <w:r w:rsidRPr="00BD3F5B">
        <w:rPr>
          <w:rFonts w:ascii="Cambria" w:hAnsi="Cambria" w:cs="Times New Roman"/>
          <w:b/>
          <w:sz w:val="28"/>
        </w:rPr>
        <w:t>Accreditation</w:t>
      </w:r>
      <w:r>
        <w:rPr>
          <w:rFonts w:ascii="Cambria" w:hAnsi="Cambria" w:cs="Times New Roman"/>
          <w:b/>
          <w:sz w:val="28"/>
        </w:rPr>
        <w:tab/>
      </w:r>
    </w:p>
    <w:p w:rsidR="00A02B8D" w:rsidRPr="00AC145A" w:rsidRDefault="00E901E7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Institutional </w:t>
      </w:r>
      <w:r w:rsidR="00A02B8D" w:rsidRPr="00AC145A">
        <w:rPr>
          <w:rFonts w:cstheme="minorHAnsi"/>
          <w:b/>
          <w:sz w:val="24"/>
          <w:szCs w:val="24"/>
        </w:rPr>
        <w:t xml:space="preserve">Accreditation: </w:t>
      </w:r>
      <w:hyperlink r:id="rId12" w:history="1">
        <w:r w:rsidRPr="00FD4158">
          <w:rPr>
            <w:rStyle w:val="Hyperlink"/>
            <w:b/>
          </w:rPr>
          <w:t>http://www.uaa.alaska.edu/undergraduate-academic-affairs/Accreditation/index.cfm</w:t>
        </w:r>
      </w:hyperlink>
      <w:r>
        <w:rPr>
          <w:b/>
        </w:rPr>
        <w:t xml:space="preserve"> </w:t>
      </w:r>
    </w:p>
    <w:p w:rsidR="00957076" w:rsidRDefault="00957076" w:rsidP="006A16FF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 w:rsidRPr="00AC4C62">
        <w:rPr>
          <w:sz w:val="24"/>
          <w:szCs w:val="24"/>
        </w:rPr>
        <w:t xml:space="preserve">Mid-Cycle </w:t>
      </w:r>
      <w:r w:rsidR="00E901E7">
        <w:rPr>
          <w:sz w:val="24"/>
          <w:szCs w:val="24"/>
        </w:rPr>
        <w:t>Evaluation</w:t>
      </w:r>
      <w:r w:rsidRPr="00AC4C62">
        <w:rPr>
          <w:sz w:val="24"/>
          <w:szCs w:val="24"/>
        </w:rPr>
        <w:t xml:space="preserve"> accreditation report </w:t>
      </w:r>
      <w:r w:rsidR="00965E12">
        <w:rPr>
          <w:sz w:val="24"/>
          <w:szCs w:val="24"/>
        </w:rPr>
        <w:t>submitted</w:t>
      </w:r>
      <w:r w:rsidRPr="00AC4C62">
        <w:rPr>
          <w:sz w:val="24"/>
          <w:szCs w:val="24"/>
        </w:rPr>
        <w:t xml:space="preserve"> to NWCCU on September </w:t>
      </w:r>
      <w:r w:rsidR="00E901E7">
        <w:rPr>
          <w:sz w:val="24"/>
          <w:szCs w:val="24"/>
        </w:rPr>
        <w:t>24</w:t>
      </w:r>
      <w:r w:rsidRPr="00AC4C62">
        <w:rPr>
          <w:sz w:val="24"/>
          <w:szCs w:val="24"/>
        </w:rPr>
        <w:t>, 2014</w:t>
      </w:r>
      <w:r w:rsidR="00F143DD">
        <w:rPr>
          <w:sz w:val="24"/>
          <w:szCs w:val="24"/>
        </w:rPr>
        <w:t xml:space="preserve"> and posted on the accreditation webpage</w:t>
      </w:r>
      <w:r w:rsidRPr="00AC4C62">
        <w:rPr>
          <w:sz w:val="24"/>
          <w:szCs w:val="24"/>
        </w:rPr>
        <w:t>.</w:t>
      </w:r>
      <w:r w:rsidR="000D25D0">
        <w:rPr>
          <w:sz w:val="24"/>
          <w:szCs w:val="24"/>
        </w:rPr>
        <w:t xml:space="preserve"> </w:t>
      </w:r>
      <w:r w:rsidRPr="00AC4C62">
        <w:rPr>
          <w:sz w:val="24"/>
          <w:szCs w:val="24"/>
        </w:rPr>
        <w:t>Site visit scheduled October 29-30, 2014.</w:t>
      </w:r>
    </w:p>
    <w:p w:rsidR="00E901E7" w:rsidRPr="00E901E7" w:rsidRDefault="00E901E7" w:rsidP="00E901E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Program </w:t>
      </w:r>
      <w:r w:rsidRPr="00E901E7">
        <w:rPr>
          <w:rFonts w:cstheme="minorHAnsi"/>
          <w:b/>
          <w:sz w:val="24"/>
          <w:szCs w:val="24"/>
        </w:rPr>
        <w:t xml:space="preserve">Accreditation: </w:t>
      </w:r>
      <w:hyperlink r:id="rId13" w:history="1">
        <w:r w:rsidRPr="00FD4158">
          <w:rPr>
            <w:rStyle w:val="Hyperlink"/>
            <w:b/>
          </w:rPr>
          <w:t>http://www.uaa.alaska.edu/undergraduate-academic-affairs/program-accreditation.cfm</w:t>
        </w:r>
      </w:hyperlink>
      <w:r>
        <w:rPr>
          <w:b/>
        </w:rPr>
        <w:t xml:space="preserve"> </w:t>
      </w:r>
      <w:r w:rsidRPr="00E901E7">
        <w:rPr>
          <w:b/>
        </w:rPr>
        <w:t xml:space="preserve"> </w:t>
      </w:r>
    </w:p>
    <w:p w:rsidR="009729E3" w:rsidRDefault="00673E63" w:rsidP="009729E3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UAA has hosted three successful site visits in September 2014: Human Services, Public Health Practice, and Dental Programs. </w:t>
      </w:r>
      <w:r w:rsidR="00E901E7" w:rsidRPr="004836B4">
        <w:rPr>
          <w:sz w:val="24"/>
          <w:szCs w:val="24"/>
        </w:rPr>
        <w:t>Please contact OUAA if you are considering new program accreditation or working on maintaining your already-</w:t>
      </w:r>
      <w:r>
        <w:rPr>
          <w:sz w:val="24"/>
          <w:szCs w:val="24"/>
        </w:rPr>
        <w:t xml:space="preserve">existing program accreditation. </w:t>
      </w:r>
    </w:p>
    <w:p w:rsidR="004836B4" w:rsidRPr="004836B4" w:rsidRDefault="004836B4" w:rsidP="004836B4">
      <w:pPr>
        <w:pStyle w:val="ListParagraph"/>
        <w:rPr>
          <w:sz w:val="24"/>
          <w:szCs w:val="24"/>
        </w:rPr>
      </w:pPr>
    </w:p>
    <w:p w:rsidR="009729E3" w:rsidRPr="003054DA" w:rsidRDefault="003054DA" w:rsidP="00BE77BA">
      <w:pPr>
        <w:pStyle w:val="ListParagraph"/>
        <w:shd w:val="clear" w:color="auto" w:fill="D6E3BC" w:themeFill="accent3" w:themeFillTint="66"/>
        <w:tabs>
          <w:tab w:val="left" w:pos="3000"/>
        </w:tabs>
        <w:ind w:left="90" w:right="720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>Course Fees</w:t>
      </w:r>
      <w:r w:rsidR="009729E3" w:rsidRPr="009729E3">
        <w:rPr>
          <w:rFonts w:ascii="Cambria" w:hAnsi="Cambria" w:cs="Times New Roman"/>
          <w:b/>
          <w:sz w:val="28"/>
        </w:rPr>
        <w:tab/>
      </w:r>
    </w:p>
    <w:p w:rsidR="009729E3" w:rsidRPr="009729E3" w:rsidRDefault="009729E3" w:rsidP="009729E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9729E3">
        <w:rPr>
          <w:sz w:val="24"/>
          <w:szCs w:val="24"/>
          <w:u w:val="single"/>
        </w:rPr>
        <w:t xml:space="preserve">New or Revised Course Fee Request Deadlines (Due to OAA)  </w:t>
      </w:r>
    </w:p>
    <w:p w:rsidR="009729E3" w:rsidRPr="008B4673" w:rsidRDefault="009729E3" w:rsidP="009729E3">
      <w:pPr>
        <w:spacing w:after="0" w:line="240" w:lineRule="auto"/>
        <w:ind w:firstLine="720"/>
        <w:rPr>
          <w:b/>
          <w:sz w:val="24"/>
          <w:szCs w:val="24"/>
        </w:rPr>
      </w:pPr>
      <w:r w:rsidRPr="008B4673">
        <w:rPr>
          <w:b/>
          <w:sz w:val="24"/>
          <w:szCs w:val="24"/>
        </w:rPr>
        <w:t>Spring Semester 2015</w:t>
      </w:r>
      <w:r w:rsidRPr="008B4673">
        <w:rPr>
          <w:b/>
          <w:sz w:val="24"/>
          <w:szCs w:val="24"/>
        </w:rPr>
        <w:tab/>
      </w:r>
      <w:r w:rsidRPr="008B4673">
        <w:rPr>
          <w:b/>
          <w:sz w:val="24"/>
          <w:szCs w:val="24"/>
        </w:rPr>
        <w:tab/>
        <w:t>Friday, October 17, 2014</w:t>
      </w:r>
    </w:p>
    <w:p w:rsidR="009729E3" w:rsidRPr="00AA1AB1" w:rsidRDefault="009729E3" w:rsidP="009729E3">
      <w:pPr>
        <w:spacing w:after="0" w:line="240" w:lineRule="auto"/>
        <w:ind w:left="720"/>
        <w:rPr>
          <w:sz w:val="24"/>
          <w:szCs w:val="24"/>
        </w:rPr>
      </w:pPr>
      <w:r w:rsidRPr="00AA1AB1">
        <w:rPr>
          <w:sz w:val="24"/>
          <w:szCs w:val="24"/>
        </w:rPr>
        <w:t>Summer Semester 2015</w:t>
      </w:r>
      <w:r w:rsidRPr="00AA1AB1">
        <w:rPr>
          <w:sz w:val="24"/>
          <w:szCs w:val="24"/>
        </w:rPr>
        <w:tab/>
        <w:t>Friday, January 23, 2014</w:t>
      </w:r>
    </w:p>
    <w:p w:rsidR="009729E3" w:rsidRPr="00AC145A" w:rsidRDefault="009729E3" w:rsidP="009729E3">
      <w:pPr>
        <w:spacing w:after="0" w:line="240" w:lineRule="auto"/>
        <w:ind w:left="720"/>
        <w:rPr>
          <w:sz w:val="24"/>
          <w:szCs w:val="24"/>
        </w:rPr>
      </w:pPr>
      <w:r w:rsidRPr="00AA1AB1">
        <w:rPr>
          <w:sz w:val="24"/>
          <w:szCs w:val="24"/>
        </w:rPr>
        <w:t>Fall Semester 2015</w:t>
      </w:r>
      <w:r w:rsidRPr="00AA1AB1">
        <w:rPr>
          <w:sz w:val="24"/>
          <w:szCs w:val="24"/>
        </w:rPr>
        <w:tab/>
      </w:r>
      <w:r w:rsidRPr="00AA1AB1">
        <w:rPr>
          <w:sz w:val="24"/>
          <w:szCs w:val="24"/>
        </w:rPr>
        <w:tab/>
        <w:t>Friday, March 13, 2015</w:t>
      </w:r>
    </w:p>
    <w:p w:rsidR="009729E3" w:rsidRPr="00AC145A" w:rsidRDefault="009729E3" w:rsidP="009729E3">
      <w:pPr>
        <w:spacing w:after="0" w:line="240" w:lineRule="auto"/>
        <w:ind w:left="720"/>
        <w:rPr>
          <w:sz w:val="24"/>
          <w:szCs w:val="24"/>
        </w:rPr>
      </w:pPr>
      <w:r w:rsidRPr="00AC145A">
        <w:rPr>
          <w:sz w:val="24"/>
          <w:szCs w:val="24"/>
        </w:rPr>
        <w:t xml:space="preserve"> </w:t>
      </w:r>
    </w:p>
    <w:p w:rsidR="009729E3" w:rsidRPr="009729E3" w:rsidRDefault="009729E3" w:rsidP="009729E3">
      <w:pPr>
        <w:rPr>
          <w:sz w:val="24"/>
          <w:szCs w:val="24"/>
        </w:rPr>
      </w:pPr>
    </w:p>
    <w:sectPr w:rsidR="009729E3" w:rsidRPr="009729E3" w:rsidSect="00C54F5D">
      <w:headerReference w:type="default" r:id="rId14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8D" w:rsidRDefault="00A02B8D" w:rsidP="00A02B8D">
      <w:pPr>
        <w:spacing w:after="0" w:line="240" w:lineRule="auto"/>
      </w:pPr>
      <w:r>
        <w:separator/>
      </w:r>
    </w:p>
  </w:endnote>
  <w:endnote w:type="continuationSeparator" w:id="0">
    <w:p w:rsidR="00A02B8D" w:rsidRDefault="00A02B8D" w:rsidP="00A0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8D" w:rsidRDefault="00A02B8D" w:rsidP="00A02B8D">
      <w:pPr>
        <w:spacing w:after="0" w:line="240" w:lineRule="auto"/>
      </w:pPr>
      <w:r>
        <w:separator/>
      </w:r>
    </w:p>
  </w:footnote>
  <w:footnote w:type="continuationSeparator" w:id="0">
    <w:p w:rsidR="00A02B8D" w:rsidRDefault="00A02B8D" w:rsidP="00A0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DF" w:rsidRDefault="006C1FCF" w:rsidP="00461D78">
    <w:pPr>
      <w:spacing w:after="0" w:line="240" w:lineRule="auto"/>
      <w:rPr>
        <w:b/>
        <w:sz w:val="20"/>
        <w:szCs w:val="20"/>
      </w:rPr>
    </w:pPr>
    <w:r w:rsidRPr="00424173">
      <w:rPr>
        <w:b/>
        <w:sz w:val="20"/>
        <w:szCs w:val="20"/>
      </w:rPr>
      <w:t xml:space="preserve">UAB Report </w:t>
    </w:r>
    <w:r w:rsidR="00424173">
      <w:rPr>
        <w:b/>
        <w:sz w:val="20"/>
        <w:szCs w:val="20"/>
      </w:rPr>
      <w:t>(</w:t>
    </w:r>
    <w:r w:rsidR="001E12E1">
      <w:rPr>
        <w:b/>
        <w:sz w:val="20"/>
        <w:szCs w:val="20"/>
      </w:rPr>
      <w:t>9-26</w:t>
    </w:r>
    <w:r w:rsidR="008B4673">
      <w:rPr>
        <w:b/>
        <w:sz w:val="20"/>
        <w:szCs w:val="20"/>
      </w:rPr>
      <w:t>-14</w:t>
    </w:r>
    <w:r w:rsidR="00AA3CDF">
      <w:rPr>
        <w:b/>
        <w:sz w:val="20"/>
        <w:szCs w:val="20"/>
      </w:rPr>
      <w:t>)</w:t>
    </w:r>
  </w:p>
  <w:p w:rsidR="0021185E" w:rsidRPr="00461D78" w:rsidRDefault="006C1FCF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EF5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23"/>
    <w:multiLevelType w:val="hybridMultilevel"/>
    <w:tmpl w:val="4CEE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6F26"/>
    <w:multiLevelType w:val="hybridMultilevel"/>
    <w:tmpl w:val="6E7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69F"/>
    <w:multiLevelType w:val="hybridMultilevel"/>
    <w:tmpl w:val="8E06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0BF3"/>
    <w:multiLevelType w:val="hybridMultilevel"/>
    <w:tmpl w:val="0BCA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344A"/>
    <w:multiLevelType w:val="hybridMultilevel"/>
    <w:tmpl w:val="6916DE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F2B2FFD"/>
    <w:multiLevelType w:val="hybridMultilevel"/>
    <w:tmpl w:val="931C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93890"/>
    <w:multiLevelType w:val="hybridMultilevel"/>
    <w:tmpl w:val="5E7E6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4038E"/>
    <w:multiLevelType w:val="hybridMultilevel"/>
    <w:tmpl w:val="13FE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171B1"/>
    <w:multiLevelType w:val="hybridMultilevel"/>
    <w:tmpl w:val="BF467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177C3"/>
    <w:multiLevelType w:val="hybridMultilevel"/>
    <w:tmpl w:val="75F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32E56"/>
    <w:multiLevelType w:val="hybridMultilevel"/>
    <w:tmpl w:val="B3D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215D6"/>
    <w:multiLevelType w:val="hybridMultilevel"/>
    <w:tmpl w:val="69F08244"/>
    <w:lvl w:ilvl="0" w:tplc="CE787AA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B3610FA"/>
    <w:multiLevelType w:val="hybridMultilevel"/>
    <w:tmpl w:val="E7A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9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D"/>
    <w:rsid w:val="00004745"/>
    <w:rsid w:val="00025ABE"/>
    <w:rsid w:val="00047A33"/>
    <w:rsid w:val="0005439A"/>
    <w:rsid w:val="00071AE8"/>
    <w:rsid w:val="000748E9"/>
    <w:rsid w:val="0007685A"/>
    <w:rsid w:val="000B08B9"/>
    <w:rsid w:val="000B7204"/>
    <w:rsid w:val="000D25D0"/>
    <w:rsid w:val="000D5623"/>
    <w:rsid w:val="000F07B1"/>
    <w:rsid w:val="0011597A"/>
    <w:rsid w:val="0011726F"/>
    <w:rsid w:val="00122599"/>
    <w:rsid w:val="00166E8D"/>
    <w:rsid w:val="001B2EB2"/>
    <w:rsid w:val="001E12E1"/>
    <w:rsid w:val="0021261E"/>
    <w:rsid w:val="002B04B9"/>
    <w:rsid w:val="0030216C"/>
    <w:rsid w:val="003054DA"/>
    <w:rsid w:val="00313059"/>
    <w:rsid w:val="00313C6E"/>
    <w:rsid w:val="003518C5"/>
    <w:rsid w:val="003662A5"/>
    <w:rsid w:val="0036637D"/>
    <w:rsid w:val="00371897"/>
    <w:rsid w:val="003A1C08"/>
    <w:rsid w:val="003A3ADD"/>
    <w:rsid w:val="003D7A26"/>
    <w:rsid w:val="00424173"/>
    <w:rsid w:val="004733DE"/>
    <w:rsid w:val="00482205"/>
    <w:rsid w:val="004836B4"/>
    <w:rsid w:val="005A2A6D"/>
    <w:rsid w:val="00673E63"/>
    <w:rsid w:val="006A16FF"/>
    <w:rsid w:val="006C1FCF"/>
    <w:rsid w:val="006F3155"/>
    <w:rsid w:val="00706816"/>
    <w:rsid w:val="007267A7"/>
    <w:rsid w:val="007A364F"/>
    <w:rsid w:val="007B22FA"/>
    <w:rsid w:val="00862B61"/>
    <w:rsid w:val="00874345"/>
    <w:rsid w:val="00896C1C"/>
    <w:rsid w:val="008A1F3E"/>
    <w:rsid w:val="008B4673"/>
    <w:rsid w:val="00957076"/>
    <w:rsid w:val="00965E12"/>
    <w:rsid w:val="009729E3"/>
    <w:rsid w:val="009B7DD2"/>
    <w:rsid w:val="009C4EBE"/>
    <w:rsid w:val="00A02B8D"/>
    <w:rsid w:val="00A058BE"/>
    <w:rsid w:val="00A9651E"/>
    <w:rsid w:val="00AA1793"/>
    <w:rsid w:val="00AA1AB1"/>
    <w:rsid w:val="00AA3CDF"/>
    <w:rsid w:val="00AC145A"/>
    <w:rsid w:val="00AC4C62"/>
    <w:rsid w:val="00B04159"/>
    <w:rsid w:val="00B06AE6"/>
    <w:rsid w:val="00B25E5E"/>
    <w:rsid w:val="00B91E95"/>
    <w:rsid w:val="00BB73F7"/>
    <w:rsid w:val="00BC433C"/>
    <w:rsid w:val="00BE77BA"/>
    <w:rsid w:val="00C84F87"/>
    <w:rsid w:val="00CD1721"/>
    <w:rsid w:val="00CF6DDE"/>
    <w:rsid w:val="00D476EA"/>
    <w:rsid w:val="00D4798B"/>
    <w:rsid w:val="00D83426"/>
    <w:rsid w:val="00D92F33"/>
    <w:rsid w:val="00DA0E67"/>
    <w:rsid w:val="00DB377E"/>
    <w:rsid w:val="00DE17C8"/>
    <w:rsid w:val="00E34F8C"/>
    <w:rsid w:val="00E901E7"/>
    <w:rsid w:val="00EF5837"/>
    <w:rsid w:val="00F143DD"/>
    <w:rsid w:val="00F20F03"/>
    <w:rsid w:val="00F43118"/>
    <w:rsid w:val="00F634AC"/>
    <w:rsid w:val="00F64782"/>
    <w:rsid w:val="00F86E37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8D"/>
  </w:style>
  <w:style w:type="paragraph" w:styleId="Footer">
    <w:name w:val="footer"/>
    <w:basedOn w:val="Normal"/>
    <w:link w:val="Foot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8D"/>
  </w:style>
  <w:style w:type="character" w:styleId="FollowedHyperlink">
    <w:name w:val="FollowedHyperlink"/>
    <w:basedOn w:val="DefaultParagraphFont"/>
    <w:uiPriority w:val="99"/>
    <w:semiHidden/>
    <w:unhideWhenUsed/>
    <w:rsid w:val="00B25E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8D"/>
  </w:style>
  <w:style w:type="paragraph" w:styleId="Footer">
    <w:name w:val="footer"/>
    <w:basedOn w:val="Normal"/>
    <w:link w:val="Foot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8D"/>
  </w:style>
  <w:style w:type="character" w:styleId="FollowedHyperlink">
    <w:name w:val="FollowedHyperlink"/>
    <w:basedOn w:val="DefaultParagraphFont"/>
    <w:uiPriority w:val="99"/>
    <w:semiHidden/>
    <w:unhideWhenUsed/>
    <w:rsid w:val="00B25E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aa.alaska.edu/undergraduate-academic-affairs/program-accreditatio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aa.alaska.edu/undergraduate-academic-affairs/Accreditation/index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a.alaska.edu/governance/academic_assessment_committee/2014-assessment-seminar/index.c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aa.alaska.edu/academicaffairs/policy-procedures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aa.alaska.edu/undergraduate-academic-affai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3F0B-8C2E-44D9-AF84-9150E51A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Susan M Kalina</cp:lastModifiedBy>
  <cp:revision>14</cp:revision>
  <cp:lastPrinted>2014-09-25T21:53:00Z</cp:lastPrinted>
  <dcterms:created xsi:type="dcterms:W3CDTF">2014-09-25T16:21:00Z</dcterms:created>
  <dcterms:modified xsi:type="dcterms:W3CDTF">2014-09-25T23:16:00Z</dcterms:modified>
</cp:coreProperties>
</file>