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0C" w:rsidRPr="00973967" w:rsidRDefault="0037692E">
      <w:pPr>
        <w:rPr>
          <w:sz w:val="20"/>
          <w:szCs w:val="20"/>
        </w:rPr>
      </w:pPr>
      <w:r w:rsidRPr="00973967">
        <w:rPr>
          <w:b/>
          <w:sz w:val="20"/>
          <w:szCs w:val="20"/>
        </w:rPr>
        <w:t>Program Name</w:t>
      </w:r>
      <w:r w:rsidR="00BA4853" w:rsidRPr="00973967">
        <w:rPr>
          <w:b/>
          <w:sz w:val="20"/>
          <w:szCs w:val="20"/>
        </w:rPr>
        <w:t>/s</w:t>
      </w:r>
      <w:r w:rsidRPr="00973967">
        <w:rPr>
          <w:b/>
          <w:sz w:val="20"/>
          <w:szCs w:val="20"/>
        </w:rPr>
        <w:t xml:space="preserve">: </w:t>
      </w:r>
      <w:r w:rsidR="00BA4853" w:rsidRPr="00973967">
        <w:rPr>
          <w:b/>
          <w:sz w:val="20"/>
          <w:szCs w:val="20"/>
        </w:rPr>
        <w:tab/>
      </w:r>
      <w:r w:rsidR="00470F9E">
        <w:rPr>
          <w:b/>
          <w:sz w:val="20"/>
          <w:szCs w:val="20"/>
        </w:rPr>
        <w:t xml:space="preserve">Pilot </w:t>
      </w:r>
      <w:r w:rsidR="00666793">
        <w:rPr>
          <w:b/>
          <w:sz w:val="20"/>
          <w:szCs w:val="20"/>
        </w:rPr>
        <w:t xml:space="preserve">AA/GER Humanities </w:t>
      </w:r>
      <w:r w:rsidR="007F12BE">
        <w:rPr>
          <w:b/>
          <w:sz w:val="20"/>
          <w:szCs w:val="20"/>
        </w:rPr>
        <w:t>Assessment</w:t>
      </w:r>
      <w:r w:rsidR="00666793">
        <w:rPr>
          <w:b/>
          <w:sz w:val="20"/>
          <w:szCs w:val="20"/>
        </w:rPr>
        <w:t xml:space="preserve"> Faculty </w:t>
      </w:r>
      <w:r w:rsidR="007F12BE">
        <w:rPr>
          <w:b/>
          <w:sz w:val="20"/>
          <w:szCs w:val="20"/>
        </w:rPr>
        <w:t>Working Group</w:t>
      </w:r>
    </w:p>
    <w:p w:rsidR="0037692E" w:rsidRPr="00973967" w:rsidRDefault="00275447">
      <w:pPr>
        <w:rPr>
          <w:sz w:val="20"/>
          <w:szCs w:val="20"/>
          <w:u w:val="single"/>
        </w:rPr>
      </w:pPr>
      <w:r>
        <w:rPr>
          <w:b/>
          <w:sz w:val="20"/>
          <w:szCs w:val="20"/>
        </w:rPr>
        <w:t>Degree</w:t>
      </w:r>
      <w:r w:rsidR="0037692E" w:rsidRPr="00973967">
        <w:rPr>
          <w:b/>
          <w:sz w:val="20"/>
          <w:szCs w:val="20"/>
        </w:rPr>
        <w:t xml:space="preserve"> </w:t>
      </w:r>
      <w:r>
        <w:rPr>
          <w:b/>
          <w:sz w:val="20"/>
          <w:szCs w:val="20"/>
        </w:rPr>
        <w:t>Type/s</w:t>
      </w:r>
      <w:r w:rsidR="0037692E" w:rsidRPr="00973967">
        <w:rPr>
          <w:b/>
          <w:sz w:val="20"/>
          <w:szCs w:val="20"/>
        </w:rPr>
        <w:t xml:space="preserve">: </w:t>
      </w:r>
      <w:r>
        <w:rPr>
          <w:b/>
          <w:sz w:val="20"/>
          <w:szCs w:val="20"/>
        </w:rPr>
        <w:tab/>
      </w:r>
      <w:r w:rsidR="00BA4853" w:rsidRPr="00973967">
        <w:rPr>
          <w:b/>
          <w:sz w:val="20"/>
          <w:szCs w:val="20"/>
        </w:rPr>
        <w:tab/>
      </w:r>
      <w:r w:rsidR="00666793">
        <w:rPr>
          <w:b/>
          <w:sz w:val="20"/>
          <w:szCs w:val="20"/>
        </w:rPr>
        <w:t>AA</w:t>
      </w:r>
    </w:p>
    <w:p w:rsidR="00BA4853" w:rsidRPr="00973967" w:rsidRDefault="0037692E" w:rsidP="00BA4853">
      <w:pPr>
        <w:rPr>
          <w:sz w:val="20"/>
          <w:szCs w:val="20"/>
        </w:rPr>
      </w:pPr>
      <w:r w:rsidRPr="00973967">
        <w:rPr>
          <w:b/>
          <w:sz w:val="20"/>
          <w:szCs w:val="20"/>
        </w:rPr>
        <w:t>College</w:t>
      </w:r>
      <w:r w:rsidR="002F4D0B">
        <w:rPr>
          <w:b/>
          <w:sz w:val="20"/>
          <w:szCs w:val="20"/>
        </w:rPr>
        <w:t>/Campus</w:t>
      </w:r>
      <w:r w:rsidRPr="00973967">
        <w:rPr>
          <w:b/>
          <w:sz w:val="20"/>
          <w:szCs w:val="20"/>
        </w:rPr>
        <w:t xml:space="preserve">: </w:t>
      </w:r>
      <w:r w:rsidR="002F4D0B">
        <w:rPr>
          <w:b/>
          <w:sz w:val="20"/>
          <w:szCs w:val="20"/>
        </w:rPr>
        <w:tab/>
      </w:r>
      <w:r w:rsidR="00666793">
        <w:rPr>
          <w:b/>
          <w:sz w:val="20"/>
          <w:szCs w:val="20"/>
        </w:rPr>
        <w:t>CAS/Anchorage</w:t>
      </w:r>
    </w:p>
    <w:p w:rsidR="00BA4853" w:rsidRPr="00973967" w:rsidRDefault="0037692E" w:rsidP="00BA4853">
      <w:pPr>
        <w:rPr>
          <w:sz w:val="20"/>
          <w:szCs w:val="20"/>
        </w:rPr>
      </w:pPr>
      <w:r w:rsidRPr="00973967">
        <w:rPr>
          <w:b/>
          <w:sz w:val="20"/>
          <w:szCs w:val="20"/>
        </w:rPr>
        <w:t xml:space="preserve">Academic Year: </w:t>
      </w:r>
      <w:r w:rsidR="00BA4853" w:rsidRPr="00973967">
        <w:rPr>
          <w:b/>
          <w:sz w:val="20"/>
          <w:szCs w:val="20"/>
        </w:rPr>
        <w:tab/>
      </w:r>
      <w:r w:rsidR="00973967">
        <w:rPr>
          <w:b/>
          <w:sz w:val="20"/>
          <w:szCs w:val="20"/>
        </w:rPr>
        <w:tab/>
      </w:r>
      <w:r w:rsidR="00666793">
        <w:rPr>
          <w:b/>
          <w:sz w:val="20"/>
          <w:szCs w:val="20"/>
        </w:rPr>
        <w:t>2014-15</w:t>
      </w:r>
    </w:p>
    <w:p w:rsidR="00944053" w:rsidRPr="002F4D0B" w:rsidRDefault="00BA4853">
      <w:pPr>
        <w:rPr>
          <w:sz w:val="16"/>
          <w:szCs w:val="16"/>
        </w:rPr>
      </w:pPr>
      <w:r w:rsidRPr="00973967">
        <w:rPr>
          <w:b/>
          <w:sz w:val="20"/>
          <w:szCs w:val="20"/>
        </w:rPr>
        <w:t>Submitted by:</w:t>
      </w:r>
      <w:r w:rsidRPr="00973967">
        <w:rPr>
          <w:b/>
          <w:sz w:val="20"/>
          <w:szCs w:val="20"/>
        </w:rPr>
        <w:tab/>
      </w:r>
      <w:r w:rsidRPr="00973967">
        <w:rPr>
          <w:b/>
          <w:sz w:val="20"/>
          <w:szCs w:val="20"/>
        </w:rPr>
        <w:tab/>
      </w:r>
      <w:r w:rsidR="00666793">
        <w:rPr>
          <w:b/>
          <w:sz w:val="20"/>
          <w:szCs w:val="20"/>
        </w:rPr>
        <w:t>Bill Myers, CAS Assessment Coordinator, and AA Assessment Coordinator</w:t>
      </w:r>
      <w:r w:rsidRPr="002F4D0B">
        <w:rPr>
          <w:sz w:val="16"/>
          <w:szCs w:val="16"/>
        </w:rPr>
        <w:tab/>
      </w:r>
      <w:r w:rsidRPr="002F4D0B">
        <w:rPr>
          <w:sz w:val="16"/>
          <w:szCs w:val="16"/>
        </w:rPr>
        <w:tab/>
      </w:r>
      <w:r w:rsidRPr="002F4D0B">
        <w:rPr>
          <w:sz w:val="16"/>
          <w:szCs w:val="16"/>
        </w:rPr>
        <w:tab/>
      </w:r>
      <w:r w:rsidRPr="002F4D0B">
        <w:rPr>
          <w:sz w:val="16"/>
          <w:szCs w:val="16"/>
        </w:rPr>
        <w:tab/>
      </w:r>
      <w:r w:rsidRPr="002F4D0B">
        <w:rPr>
          <w:sz w:val="16"/>
          <w:szCs w:val="16"/>
        </w:rPr>
        <w:tab/>
      </w:r>
      <w:r w:rsidRPr="002F4D0B">
        <w:rPr>
          <w:sz w:val="16"/>
          <w:szCs w:val="16"/>
        </w:rPr>
        <w:tab/>
      </w:r>
      <w:r w:rsidRPr="002F4D0B">
        <w:rPr>
          <w:sz w:val="16"/>
          <w:szCs w:val="16"/>
        </w:rPr>
        <w:tab/>
      </w:r>
      <w:r w:rsidRPr="002F4D0B">
        <w:rPr>
          <w:sz w:val="16"/>
          <w:szCs w:val="16"/>
        </w:rPr>
        <w:tab/>
      </w:r>
    </w:p>
    <w:p w:rsidR="002556DB" w:rsidRDefault="00973967" w:rsidP="00666793">
      <w:pPr>
        <w:pStyle w:val="NoSpacing"/>
        <w:rPr>
          <w:b/>
        </w:rPr>
      </w:pPr>
      <w:r w:rsidRPr="00666793">
        <w:rPr>
          <w:b/>
        </w:rPr>
        <w:t>Submitted to:</w:t>
      </w:r>
      <w:r w:rsidRPr="00666793">
        <w:rPr>
          <w:b/>
        </w:rPr>
        <w:tab/>
      </w:r>
      <w:r w:rsidRPr="00666793">
        <w:rPr>
          <w:b/>
        </w:rPr>
        <w:tab/>
      </w:r>
      <w:bookmarkStart w:id="0" w:name="_GoBack"/>
      <w:bookmarkEnd w:id="0"/>
      <w:r w:rsidR="00666793" w:rsidRPr="00666793">
        <w:rPr>
          <w:b/>
        </w:rPr>
        <w:t>Patty Linton, Senior Assoc. Dean, CAS,</w:t>
      </w:r>
      <w:r w:rsidR="002556DB">
        <w:rPr>
          <w:b/>
        </w:rPr>
        <w:t xml:space="preserve"> </w:t>
      </w:r>
      <w:r w:rsidR="00666793" w:rsidRPr="00666793">
        <w:rPr>
          <w:b/>
        </w:rPr>
        <w:tab/>
        <w:t>Dean Stalvey, CAS, Susan Kalin</w:t>
      </w:r>
      <w:r w:rsidR="00666793">
        <w:rPr>
          <w:b/>
        </w:rPr>
        <w:t>a</w:t>
      </w:r>
      <w:r w:rsidR="00666793" w:rsidRPr="00666793">
        <w:rPr>
          <w:b/>
        </w:rPr>
        <w:t xml:space="preserve">, Vice </w:t>
      </w:r>
    </w:p>
    <w:p w:rsidR="00605EDD" w:rsidRPr="00666793" w:rsidRDefault="002556DB" w:rsidP="00666793">
      <w:pPr>
        <w:pStyle w:val="NoSpacing"/>
        <w:rPr>
          <w:b/>
          <w:sz w:val="16"/>
          <w:szCs w:val="16"/>
        </w:rPr>
      </w:pPr>
      <w:r>
        <w:rPr>
          <w:b/>
        </w:rPr>
        <w:tab/>
      </w:r>
      <w:r>
        <w:rPr>
          <w:b/>
        </w:rPr>
        <w:tab/>
      </w:r>
      <w:r>
        <w:rPr>
          <w:b/>
        </w:rPr>
        <w:tab/>
      </w:r>
      <w:r w:rsidR="00666793" w:rsidRPr="00666793">
        <w:rPr>
          <w:b/>
        </w:rPr>
        <w:t>Provost of Undergraduate Academic</w:t>
      </w:r>
      <w:r>
        <w:rPr>
          <w:b/>
        </w:rPr>
        <w:t xml:space="preserve"> </w:t>
      </w:r>
      <w:r w:rsidR="00666793" w:rsidRPr="00666793">
        <w:rPr>
          <w:b/>
        </w:rPr>
        <w:t>Affairs</w:t>
      </w:r>
      <w:r>
        <w:rPr>
          <w:b/>
        </w:rPr>
        <w:t xml:space="preserve">              15 </w:t>
      </w:r>
      <w:r w:rsidR="00666793" w:rsidRPr="00666793">
        <w:rPr>
          <w:b/>
        </w:rPr>
        <w:t>June 2015</w:t>
      </w:r>
    </w:p>
    <w:p w:rsidR="00944053" w:rsidRDefault="00973967" w:rsidP="00470F9E">
      <w:pPr>
        <w:pStyle w:val="NoSpacing"/>
      </w:pPr>
      <w:r w:rsidRPr="002F4D0B">
        <w:br/>
      </w:r>
    </w:p>
    <w:p w:rsidR="006F2FFE" w:rsidRPr="006F2FFE" w:rsidRDefault="00605BA4" w:rsidP="00470F9E">
      <w:pPr>
        <w:pStyle w:val="NoSpacing"/>
        <w:rPr>
          <w:b/>
          <w:u w:val="single"/>
        </w:rPr>
      </w:pPr>
      <w:r w:rsidRPr="006F2FFE">
        <w:rPr>
          <w:b/>
          <w:u w:val="single"/>
        </w:rPr>
        <w:t xml:space="preserve">I) </w:t>
      </w:r>
      <w:r w:rsidR="00470F9E" w:rsidRPr="006F2FFE">
        <w:rPr>
          <w:b/>
          <w:u w:val="single"/>
        </w:rPr>
        <w:t xml:space="preserve">Humanities Assessment Pilot </w:t>
      </w:r>
      <w:r w:rsidRPr="006F2FFE">
        <w:rPr>
          <w:b/>
          <w:u w:val="single"/>
        </w:rPr>
        <w:t>Description and Overview</w:t>
      </w:r>
      <w:r w:rsidR="00470F9E" w:rsidRPr="006F2FFE">
        <w:rPr>
          <w:b/>
          <w:u w:val="single"/>
        </w:rPr>
        <w:t>:</w:t>
      </w:r>
      <w:r w:rsidR="006F2FFE" w:rsidRPr="006F2FFE">
        <w:rPr>
          <w:b/>
          <w:u w:val="single"/>
        </w:rPr>
        <w:t xml:space="preserve"> </w:t>
      </w:r>
      <w:r w:rsidRPr="006F2FFE">
        <w:rPr>
          <w:b/>
          <w:u w:val="single"/>
        </w:rPr>
        <w:t>The Faculty Inquiry Group</w:t>
      </w:r>
      <w:r w:rsidR="006F2FFE" w:rsidRPr="006F2FFE">
        <w:rPr>
          <w:b/>
          <w:u w:val="single"/>
        </w:rPr>
        <w:t>.</w:t>
      </w:r>
    </w:p>
    <w:p w:rsidR="00470F9E" w:rsidRDefault="009903DA" w:rsidP="00470F9E">
      <w:pPr>
        <w:pStyle w:val="NoSpacing"/>
      </w:pPr>
      <w:r>
        <w:t>In an effort to get increased faculty involvement and discussion on AA/GER assessment, t</w:t>
      </w:r>
      <w:r w:rsidR="00FB11BE">
        <w:t xml:space="preserve">he AA Assessment Coordinator, </w:t>
      </w:r>
      <w:r w:rsidR="00605BA4">
        <w:t xml:space="preserve">Bill Myers, </w:t>
      </w:r>
      <w:r w:rsidR="003C6A42">
        <w:t>chaired</w:t>
      </w:r>
      <w:r w:rsidR="00605BA4">
        <w:t xml:space="preserve"> an assessment inquiry group of four</w:t>
      </w:r>
      <w:r w:rsidR="00FB11BE">
        <w:t xml:space="preserve"> faculty volunteers who taught AA/GER Humanities course</w:t>
      </w:r>
      <w:r w:rsidR="003C6A42">
        <w:t>s</w:t>
      </w:r>
      <w:r w:rsidR="00FB11BE">
        <w:t>. Two faculty were from Philosophy (Stephanie Bauer, Chair of Philosophy, and Hugh (Gunner) Deery,</w:t>
      </w:r>
      <w:r w:rsidR="00605BA4">
        <w:t xml:space="preserve"> adjunct instructor), and two from History (Liz Dennison, professor, and Curtis Murphy, term instructor).</w:t>
      </w:r>
    </w:p>
    <w:p w:rsidR="00250022" w:rsidRDefault="00250022" w:rsidP="00470F9E">
      <w:pPr>
        <w:pStyle w:val="NoSpacing"/>
      </w:pPr>
    </w:p>
    <w:p w:rsidR="006F2FFE" w:rsidRDefault="006F2FFE" w:rsidP="00470F9E">
      <w:pPr>
        <w:pStyle w:val="NoSpacing"/>
        <w:rPr>
          <w:u w:val="single"/>
        </w:rPr>
      </w:pPr>
      <w:r w:rsidRPr="006F2FFE">
        <w:rPr>
          <w:b/>
          <w:u w:val="single"/>
        </w:rPr>
        <w:t xml:space="preserve">II) </w:t>
      </w:r>
      <w:r w:rsidR="00605BA4" w:rsidRPr="006F2FFE">
        <w:rPr>
          <w:b/>
          <w:u w:val="single"/>
        </w:rPr>
        <w:t>The Process</w:t>
      </w:r>
      <w:r w:rsidR="00250022" w:rsidRPr="006F2FFE">
        <w:rPr>
          <w:b/>
          <w:u w:val="single"/>
        </w:rPr>
        <w:t>:</w:t>
      </w:r>
      <w:r w:rsidR="00250022">
        <w:rPr>
          <w:u w:val="single"/>
        </w:rPr>
        <w:t xml:space="preserve"> </w:t>
      </w:r>
    </w:p>
    <w:p w:rsidR="007B5814" w:rsidRDefault="00250022" w:rsidP="00470F9E">
      <w:pPr>
        <w:pStyle w:val="NoSpacing"/>
      </w:pPr>
      <w:r>
        <w:t>The inquiry group met live and via email several times over the course of the Spring Semester to set up the general process and goals of the pilot assessment project.</w:t>
      </w:r>
      <w:r w:rsidR="003C6A42">
        <w:t xml:space="preserve"> The group then met over three days in May 2015 (two days for discussion</w:t>
      </w:r>
      <w:r w:rsidR="008E3BFF">
        <w:t xml:space="preserve"> and</w:t>
      </w:r>
      <w:r w:rsidR="003C6A42">
        <w:t xml:space="preserve"> reflection, one day for individual rubric scoring of student papers).</w:t>
      </w:r>
      <w:r>
        <w:t xml:space="preserve"> </w:t>
      </w:r>
    </w:p>
    <w:p w:rsidR="001177FC" w:rsidRDefault="001177FC" w:rsidP="00470F9E">
      <w:pPr>
        <w:pStyle w:val="NoSpacing"/>
      </w:pPr>
    </w:p>
    <w:p w:rsidR="00605BA4" w:rsidRDefault="007B5814" w:rsidP="006F2FFE">
      <w:pPr>
        <w:pStyle w:val="NoSpacing"/>
        <w:numPr>
          <w:ilvl w:val="0"/>
          <w:numId w:val="5"/>
        </w:numPr>
      </w:pPr>
      <w:r w:rsidRPr="001177FC">
        <w:rPr>
          <w:b/>
        </w:rPr>
        <w:t>Selected Student Essays</w:t>
      </w:r>
      <w:r w:rsidR="001177FC">
        <w:t xml:space="preserve">: </w:t>
      </w:r>
      <w:r w:rsidR="00250022">
        <w:t>The assessment process consisted of gathering selected samples of student artifacts (in this case, student essays)</w:t>
      </w:r>
      <w:r w:rsidR="004A110E">
        <w:t xml:space="preserve">, from Humanities AA/GER courses that the faculty taught. This included papers from PHIL 101 Intro to Logic, PHIL 201 Intro to Philosophy, HIST 101 Western Civilization I, and HIST 102 Western Civilization II. Faculty also collated total student scores on the chosen paper assignments (for each class, how many total A’s, B’s, C’s, etc., on the selected paper). </w:t>
      </w:r>
      <w:r>
        <w:t xml:space="preserve">Participating faculty exchanged syllabi, essay assignments, paper guidelines and grading rubrics that they have designed for their own AA/GER courses. The group decided to select A, B, C, and D sample papers from their course to exchange for review. A total </w:t>
      </w:r>
      <w:r w:rsidR="005562FC">
        <w:t>of 43 papers were chosen</w:t>
      </w:r>
      <w:r w:rsidR="009B7793">
        <w:t xml:space="preserve"> (out of 241 graded papers)</w:t>
      </w:r>
      <w:r w:rsidR="005562FC">
        <w:t xml:space="preserve">, from </w:t>
      </w:r>
      <w:r w:rsidR="009B7793">
        <w:t>8</w:t>
      </w:r>
      <w:r>
        <w:t xml:space="preserve"> AA/</w:t>
      </w:r>
      <w:r w:rsidR="0058701F">
        <w:t>GER Humanities course sections. Western Civ. II aggregate scores and papers came from 2 online sections.</w:t>
      </w:r>
    </w:p>
    <w:p w:rsidR="001177FC" w:rsidRDefault="001177FC" w:rsidP="001177FC">
      <w:pPr>
        <w:pStyle w:val="NoSpacing"/>
        <w:ind w:left="720"/>
      </w:pPr>
    </w:p>
    <w:p w:rsidR="001177FC" w:rsidRDefault="001177FC" w:rsidP="006F2FFE">
      <w:pPr>
        <w:pStyle w:val="NoSpacing"/>
        <w:numPr>
          <w:ilvl w:val="0"/>
          <w:numId w:val="5"/>
        </w:numPr>
      </w:pPr>
      <w:r>
        <w:rPr>
          <w:b/>
        </w:rPr>
        <w:t>AA/</w:t>
      </w:r>
      <w:r w:rsidR="007F12BE">
        <w:rPr>
          <w:b/>
        </w:rPr>
        <w:t>GER Outcomes</w:t>
      </w:r>
      <w:r>
        <w:rPr>
          <w:b/>
        </w:rPr>
        <w:t xml:space="preserve"> Assessed: </w:t>
      </w:r>
      <w:r>
        <w:t xml:space="preserve">The inquiry group spent much time discussing which AA and/or GER outcomes they taught and assessed in their Humanities courses. The group chose to assess 3 simplified outcomes for this project: </w:t>
      </w:r>
      <w:r w:rsidRPr="00991508">
        <w:rPr>
          <w:b/>
        </w:rPr>
        <w:t>Effective Communication, Critical Thinking, and Information Literacy</w:t>
      </w:r>
      <w:r>
        <w:t>.</w:t>
      </w:r>
    </w:p>
    <w:p w:rsidR="001177FC" w:rsidRDefault="001177FC" w:rsidP="001177FC">
      <w:pPr>
        <w:pStyle w:val="ListParagraph"/>
      </w:pPr>
    </w:p>
    <w:p w:rsidR="001177FC" w:rsidRDefault="001177FC" w:rsidP="006F2FFE">
      <w:pPr>
        <w:pStyle w:val="NoSpacing"/>
        <w:numPr>
          <w:ilvl w:val="0"/>
          <w:numId w:val="5"/>
        </w:numPr>
      </w:pPr>
      <w:r>
        <w:rPr>
          <w:b/>
        </w:rPr>
        <w:t>Rubric Design</w:t>
      </w:r>
      <w:r w:rsidR="009903DA">
        <w:rPr>
          <w:b/>
        </w:rPr>
        <w:t xml:space="preserve"> and Scoring</w:t>
      </w:r>
      <w:r>
        <w:rPr>
          <w:b/>
        </w:rPr>
        <w:t>:</w:t>
      </w:r>
      <w:r>
        <w:t xml:space="preserve"> After examining several national examples, the inquiry group developed a simplified rubric for each of the outcomes, with criteria and levels of achievement to be used to score the selected student papers (see attached rubrics).</w:t>
      </w:r>
      <w:r w:rsidR="009903DA">
        <w:t xml:space="preserve"> </w:t>
      </w:r>
      <w:r w:rsidR="00356A71">
        <w:t>The g</w:t>
      </w:r>
      <w:r w:rsidR="009903DA">
        <w:t>roup went through a rubric scoring norming exercise, prior to embarking on a day and a half individual rubric scoring of the student papers.</w:t>
      </w:r>
    </w:p>
    <w:p w:rsidR="005F0BA3" w:rsidRDefault="005F0BA3" w:rsidP="005F0BA3">
      <w:pPr>
        <w:pStyle w:val="ListParagraph"/>
      </w:pPr>
    </w:p>
    <w:p w:rsidR="009903DA" w:rsidRDefault="009903DA" w:rsidP="006F2FFE">
      <w:pPr>
        <w:pStyle w:val="NoSpacing"/>
        <w:numPr>
          <w:ilvl w:val="0"/>
          <w:numId w:val="5"/>
        </w:numPr>
      </w:pPr>
      <w:r>
        <w:rPr>
          <w:b/>
        </w:rPr>
        <w:t>Individual review and group discussion/reflection:</w:t>
      </w:r>
      <w:r>
        <w:t xml:space="preserve"> </w:t>
      </w:r>
      <w:r w:rsidR="00356A71">
        <w:t>The f</w:t>
      </w:r>
      <w:r>
        <w:t>aculty inquiry group met for over 3 hours to exchange rubric scores, discuss findings on student performance, reflect on the outcomes and rubrics, and make recommendations.</w:t>
      </w:r>
    </w:p>
    <w:p w:rsidR="009903DA" w:rsidRDefault="009903DA" w:rsidP="009903DA">
      <w:pPr>
        <w:pStyle w:val="NoSpacing"/>
      </w:pPr>
    </w:p>
    <w:p w:rsidR="007F12BE" w:rsidRDefault="007F12BE" w:rsidP="009903DA">
      <w:pPr>
        <w:pStyle w:val="NoSpacing"/>
        <w:rPr>
          <w:b/>
        </w:rPr>
      </w:pPr>
    </w:p>
    <w:p w:rsidR="005F0BA3" w:rsidRDefault="009903DA" w:rsidP="009903DA">
      <w:pPr>
        <w:pStyle w:val="NoSpacing"/>
      </w:pPr>
      <w:r w:rsidRPr="009903DA">
        <w:rPr>
          <w:b/>
        </w:rPr>
        <w:t xml:space="preserve">II) Findings: </w:t>
      </w:r>
    </w:p>
    <w:p w:rsidR="006F2FFE" w:rsidRDefault="006F2FFE" w:rsidP="009903DA">
      <w:pPr>
        <w:pStyle w:val="NoSpacing"/>
      </w:pPr>
    </w:p>
    <w:p w:rsidR="006F2FFE" w:rsidRPr="00785F4C" w:rsidRDefault="00785F4C" w:rsidP="006F2FFE">
      <w:pPr>
        <w:pStyle w:val="NoSpacing"/>
        <w:numPr>
          <w:ilvl w:val="0"/>
          <w:numId w:val="6"/>
        </w:numPr>
        <w:rPr>
          <w:b/>
        </w:rPr>
      </w:pPr>
      <w:r w:rsidRPr="00785F4C">
        <w:rPr>
          <w:b/>
        </w:rPr>
        <w:t>Aggregate Student Scores for assignment:</w:t>
      </w:r>
    </w:p>
    <w:p w:rsidR="00785F4C" w:rsidRDefault="00785F4C" w:rsidP="00785F4C">
      <w:pPr>
        <w:pStyle w:val="NoSpacing"/>
        <w:ind w:left="360"/>
      </w:pPr>
    </w:p>
    <w:tbl>
      <w:tblPr>
        <w:tblStyle w:val="TableGrid"/>
        <w:tblW w:w="0" w:type="auto"/>
        <w:tblInd w:w="360" w:type="dxa"/>
        <w:tblLook w:val="04A0" w:firstRow="1" w:lastRow="0" w:firstColumn="1" w:lastColumn="0" w:noHBand="0" w:noVBand="1"/>
      </w:tblPr>
      <w:tblGrid>
        <w:gridCol w:w="1575"/>
        <w:gridCol w:w="1529"/>
        <w:gridCol w:w="1528"/>
        <w:gridCol w:w="1528"/>
        <w:gridCol w:w="1529"/>
        <w:gridCol w:w="1527"/>
      </w:tblGrid>
      <w:tr w:rsidR="00AA54E2" w:rsidTr="00AA54E2">
        <w:tc>
          <w:tcPr>
            <w:tcW w:w="1575" w:type="dxa"/>
          </w:tcPr>
          <w:p w:rsidR="00AA54E2" w:rsidRDefault="00AA54E2" w:rsidP="00785F4C">
            <w:pPr>
              <w:pStyle w:val="NoSpacing"/>
              <w:rPr>
                <w:b/>
              </w:rPr>
            </w:pPr>
          </w:p>
        </w:tc>
        <w:tc>
          <w:tcPr>
            <w:tcW w:w="1529" w:type="dxa"/>
          </w:tcPr>
          <w:p w:rsidR="00AA54E2" w:rsidRDefault="00AA54E2" w:rsidP="00CE46D6">
            <w:pPr>
              <w:pStyle w:val="NoSpacing"/>
              <w:jc w:val="center"/>
              <w:rPr>
                <w:b/>
              </w:rPr>
            </w:pPr>
            <w:r>
              <w:rPr>
                <w:b/>
              </w:rPr>
              <w:t>A</w:t>
            </w:r>
          </w:p>
        </w:tc>
        <w:tc>
          <w:tcPr>
            <w:tcW w:w="1528" w:type="dxa"/>
          </w:tcPr>
          <w:p w:rsidR="00AA54E2" w:rsidRDefault="00AA54E2" w:rsidP="00CE46D6">
            <w:pPr>
              <w:pStyle w:val="NoSpacing"/>
              <w:jc w:val="center"/>
              <w:rPr>
                <w:b/>
              </w:rPr>
            </w:pPr>
            <w:r>
              <w:rPr>
                <w:b/>
              </w:rPr>
              <w:t>B</w:t>
            </w:r>
          </w:p>
        </w:tc>
        <w:tc>
          <w:tcPr>
            <w:tcW w:w="1528" w:type="dxa"/>
          </w:tcPr>
          <w:p w:rsidR="00AA54E2" w:rsidRDefault="00AA54E2" w:rsidP="00CE46D6">
            <w:pPr>
              <w:pStyle w:val="NoSpacing"/>
              <w:jc w:val="center"/>
              <w:rPr>
                <w:b/>
              </w:rPr>
            </w:pPr>
            <w:r>
              <w:rPr>
                <w:b/>
              </w:rPr>
              <w:t>C</w:t>
            </w:r>
          </w:p>
        </w:tc>
        <w:tc>
          <w:tcPr>
            <w:tcW w:w="1529" w:type="dxa"/>
          </w:tcPr>
          <w:p w:rsidR="00AA54E2" w:rsidRDefault="00AA54E2" w:rsidP="00CE46D6">
            <w:pPr>
              <w:pStyle w:val="NoSpacing"/>
              <w:jc w:val="center"/>
              <w:rPr>
                <w:b/>
              </w:rPr>
            </w:pPr>
            <w:r>
              <w:rPr>
                <w:b/>
              </w:rPr>
              <w:t>D</w:t>
            </w:r>
          </w:p>
        </w:tc>
        <w:tc>
          <w:tcPr>
            <w:tcW w:w="1527" w:type="dxa"/>
          </w:tcPr>
          <w:p w:rsidR="00AA54E2" w:rsidRDefault="00AA54E2" w:rsidP="00CE46D6">
            <w:pPr>
              <w:pStyle w:val="NoSpacing"/>
              <w:jc w:val="center"/>
              <w:rPr>
                <w:b/>
              </w:rPr>
            </w:pPr>
            <w:r>
              <w:rPr>
                <w:b/>
              </w:rPr>
              <w:t>F</w:t>
            </w:r>
          </w:p>
        </w:tc>
      </w:tr>
      <w:tr w:rsidR="00AA54E2" w:rsidTr="00AA54E2">
        <w:tc>
          <w:tcPr>
            <w:tcW w:w="1575" w:type="dxa"/>
          </w:tcPr>
          <w:p w:rsidR="00AA54E2" w:rsidRDefault="00AA54E2" w:rsidP="00785F4C">
            <w:pPr>
              <w:pStyle w:val="NoSpacing"/>
              <w:rPr>
                <w:b/>
              </w:rPr>
            </w:pPr>
            <w:r>
              <w:rPr>
                <w:b/>
              </w:rPr>
              <w:t>PHIL 101-Intro to Logic (36 total)</w:t>
            </w:r>
          </w:p>
        </w:tc>
        <w:tc>
          <w:tcPr>
            <w:tcW w:w="1529" w:type="dxa"/>
          </w:tcPr>
          <w:p w:rsidR="00AA54E2" w:rsidRPr="00AA54E2" w:rsidRDefault="00AA54E2" w:rsidP="00785F4C">
            <w:pPr>
              <w:pStyle w:val="NoSpacing"/>
              <w:jc w:val="center"/>
            </w:pPr>
            <w:r>
              <w:t>13</w:t>
            </w:r>
          </w:p>
        </w:tc>
        <w:tc>
          <w:tcPr>
            <w:tcW w:w="1528" w:type="dxa"/>
          </w:tcPr>
          <w:p w:rsidR="00AA54E2" w:rsidRPr="00AA54E2" w:rsidRDefault="00AA54E2" w:rsidP="00785F4C">
            <w:pPr>
              <w:pStyle w:val="NoSpacing"/>
              <w:jc w:val="center"/>
            </w:pPr>
            <w:r>
              <w:t>12</w:t>
            </w:r>
          </w:p>
        </w:tc>
        <w:tc>
          <w:tcPr>
            <w:tcW w:w="1528" w:type="dxa"/>
          </w:tcPr>
          <w:p w:rsidR="00AA54E2" w:rsidRPr="00AA54E2" w:rsidRDefault="00AA54E2" w:rsidP="00785F4C">
            <w:pPr>
              <w:pStyle w:val="NoSpacing"/>
              <w:jc w:val="center"/>
            </w:pPr>
            <w:r>
              <w:t>2</w:t>
            </w:r>
          </w:p>
        </w:tc>
        <w:tc>
          <w:tcPr>
            <w:tcW w:w="1529" w:type="dxa"/>
          </w:tcPr>
          <w:p w:rsidR="00AA54E2" w:rsidRPr="00AA54E2" w:rsidRDefault="00AA54E2" w:rsidP="00785F4C">
            <w:pPr>
              <w:pStyle w:val="NoSpacing"/>
              <w:jc w:val="center"/>
            </w:pPr>
            <w:r>
              <w:t>0</w:t>
            </w:r>
          </w:p>
        </w:tc>
        <w:tc>
          <w:tcPr>
            <w:tcW w:w="1527" w:type="dxa"/>
          </w:tcPr>
          <w:p w:rsidR="00AA54E2" w:rsidRPr="00AA54E2" w:rsidRDefault="00AA54E2" w:rsidP="00785F4C">
            <w:pPr>
              <w:pStyle w:val="NoSpacing"/>
              <w:jc w:val="center"/>
            </w:pPr>
            <w:r>
              <w:t>9</w:t>
            </w:r>
          </w:p>
        </w:tc>
      </w:tr>
      <w:tr w:rsidR="00AA54E2" w:rsidTr="00AA54E2">
        <w:tc>
          <w:tcPr>
            <w:tcW w:w="1575" w:type="dxa"/>
          </w:tcPr>
          <w:p w:rsidR="00AA54E2" w:rsidRDefault="00AA54E2" w:rsidP="00785F4C">
            <w:pPr>
              <w:pStyle w:val="NoSpacing"/>
              <w:rPr>
                <w:b/>
              </w:rPr>
            </w:pPr>
            <w:r>
              <w:rPr>
                <w:b/>
              </w:rPr>
              <w:t>PHIL 201—Intro to Philosophy (91</w:t>
            </w:r>
            <w:r w:rsidR="005562FC">
              <w:rPr>
                <w:b/>
              </w:rPr>
              <w:t xml:space="preserve"> total</w:t>
            </w:r>
            <w:r>
              <w:rPr>
                <w:b/>
              </w:rPr>
              <w:t>)</w:t>
            </w:r>
          </w:p>
        </w:tc>
        <w:tc>
          <w:tcPr>
            <w:tcW w:w="1529" w:type="dxa"/>
          </w:tcPr>
          <w:p w:rsidR="00AA54E2" w:rsidRPr="00AA54E2" w:rsidRDefault="00AA54E2" w:rsidP="00AA54E2">
            <w:pPr>
              <w:pStyle w:val="NoSpacing"/>
              <w:jc w:val="center"/>
            </w:pPr>
            <w:r>
              <w:t>51</w:t>
            </w:r>
          </w:p>
        </w:tc>
        <w:tc>
          <w:tcPr>
            <w:tcW w:w="1528" w:type="dxa"/>
          </w:tcPr>
          <w:p w:rsidR="00AA54E2" w:rsidRPr="00AA54E2" w:rsidRDefault="00AA54E2" w:rsidP="00AA54E2">
            <w:pPr>
              <w:pStyle w:val="NoSpacing"/>
              <w:jc w:val="center"/>
            </w:pPr>
            <w:r>
              <w:t>13</w:t>
            </w:r>
          </w:p>
        </w:tc>
        <w:tc>
          <w:tcPr>
            <w:tcW w:w="1528" w:type="dxa"/>
          </w:tcPr>
          <w:p w:rsidR="00AA54E2" w:rsidRPr="00AA54E2" w:rsidRDefault="00AA54E2" w:rsidP="00AA54E2">
            <w:pPr>
              <w:pStyle w:val="NoSpacing"/>
              <w:jc w:val="center"/>
            </w:pPr>
            <w:r>
              <w:t>4</w:t>
            </w:r>
          </w:p>
        </w:tc>
        <w:tc>
          <w:tcPr>
            <w:tcW w:w="1529" w:type="dxa"/>
          </w:tcPr>
          <w:p w:rsidR="00AA54E2" w:rsidRPr="00AA54E2" w:rsidRDefault="00AA54E2" w:rsidP="00AA54E2">
            <w:pPr>
              <w:pStyle w:val="NoSpacing"/>
              <w:jc w:val="center"/>
            </w:pPr>
            <w:r>
              <w:t>0</w:t>
            </w:r>
          </w:p>
        </w:tc>
        <w:tc>
          <w:tcPr>
            <w:tcW w:w="1527" w:type="dxa"/>
          </w:tcPr>
          <w:p w:rsidR="00AA54E2" w:rsidRPr="00AA54E2" w:rsidRDefault="00AA54E2" w:rsidP="00AA54E2">
            <w:pPr>
              <w:pStyle w:val="NoSpacing"/>
              <w:jc w:val="center"/>
            </w:pPr>
            <w:r>
              <w:t>23</w:t>
            </w:r>
          </w:p>
        </w:tc>
      </w:tr>
      <w:tr w:rsidR="00AA54E2" w:rsidTr="00AA54E2">
        <w:tc>
          <w:tcPr>
            <w:tcW w:w="1575" w:type="dxa"/>
          </w:tcPr>
          <w:p w:rsidR="00AA54E2" w:rsidRDefault="00AA54E2" w:rsidP="00785F4C">
            <w:pPr>
              <w:pStyle w:val="NoSpacing"/>
              <w:rPr>
                <w:b/>
              </w:rPr>
            </w:pPr>
            <w:r>
              <w:rPr>
                <w:b/>
              </w:rPr>
              <w:t>HIST 101—West. Civ. I</w:t>
            </w:r>
            <w:r w:rsidR="005562FC">
              <w:rPr>
                <w:b/>
              </w:rPr>
              <w:t xml:space="preserve"> (87 total)</w:t>
            </w:r>
          </w:p>
        </w:tc>
        <w:tc>
          <w:tcPr>
            <w:tcW w:w="1529" w:type="dxa"/>
          </w:tcPr>
          <w:p w:rsidR="00AA54E2" w:rsidRPr="00AA54E2" w:rsidRDefault="005562FC" w:rsidP="00AA54E2">
            <w:pPr>
              <w:pStyle w:val="NoSpacing"/>
              <w:jc w:val="center"/>
            </w:pPr>
            <w:r>
              <w:t>9</w:t>
            </w:r>
          </w:p>
        </w:tc>
        <w:tc>
          <w:tcPr>
            <w:tcW w:w="1528" w:type="dxa"/>
          </w:tcPr>
          <w:p w:rsidR="00AA54E2" w:rsidRPr="005562FC" w:rsidRDefault="005562FC" w:rsidP="005562FC">
            <w:pPr>
              <w:pStyle w:val="NoSpacing"/>
              <w:jc w:val="center"/>
            </w:pPr>
            <w:r>
              <w:t>34</w:t>
            </w:r>
          </w:p>
        </w:tc>
        <w:tc>
          <w:tcPr>
            <w:tcW w:w="1528" w:type="dxa"/>
          </w:tcPr>
          <w:p w:rsidR="00AA54E2" w:rsidRPr="005562FC" w:rsidRDefault="005562FC" w:rsidP="005562FC">
            <w:pPr>
              <w:pStyle w:val="NoSpacing"/>
              <w:jc w:val="center"/>
            </w:pPr>
            <w:r>
              <w:t>19</w:t>
            </w:r>
          </w:p>
        </w:tc>
        <w:tc>
          <w:tcPr>
            <w:tcW w:w="1529" w:type="dxa"/>
          </w:tcPr>
          <w:p w:rsidR="00AA54E2" w:rsidRPr="005562FC" w:rsidRDefault="005562FC" w:rsidP="005562FC">
            <w:pPr>
              <w:pStyle w:val="NoSpacing"/>
              <w:jc w:val="center"/>
            </w:pPr>
            <w:r>
              <w:t>5</w:t>
            </w:r>
          </w:p>
        </w:tc>
        <w:tc>
          <w:tcPr>
            <w:tcW w:w="1527" w:type="dxa"/>
          </w:tcPr>
          <w:p w:rsidR="00AA54E2" w:rsidRDefault="005562FC" w:rsidP="005562FC">
            <w:pPr>
              <w:pStyle w:val="NoSpacing"/>
              <w:jc w:val="center"/>
            </w:pPr>
            <w:r>
              <w:t>3</w:t>
            </w:r>
          </w:p>
          <w:p w:rsidR="005562FC" w:rsidRPr="005562FC" w:rsidRDefault="005562FC" w:rsidP="005562FC">
            <w:pPr>
              <w:pStyle w:val="NoSpacing"/>
              <w:jc w:val="center"/>
            </w:pPr>
            <w:r>
              <w:t>(17 not turned in)</w:t>
            </w:r>
          </w:p>
        </w:tc>
      </w:tr>
      <w:tr w:rsidR="00AA54E2" w:rsidTr="00AA54E2">
        <w:tc>
          <w:tcPr>
            <w:tcW w:w="1575" w:type="dxa"/>
          </w:tcPr>
          <w:p w:rsidR="00AA54E2" w:rsidRDefault="00AA54E2" w:rsidP="00785F4C">
            <w:pPr>
              <w:pStyle w:val="NoSpacing"/>
              <w:rPr>
                <w:b/>
              </w:rPr>
            </w:pPr>
            <w:r>
              <w:rPr>
                <w:b/>
              </w:rPr>
              <w:t>HIST 102-West. Civ. II</w:t>
            </w:r>
            <w:r w:rsidR="009B7793">
              <w:rPr>
                <w:b/>
              </w:rPr>
              <w:t xml:space="preserve"> (48 total)</w:t>
            </w:r>
          </w:p>
        </w:tc>
        <w:tc>
          <w:tcPr>
            <w:tcW w:w="1529" w:type="dxa"/>
          </w:tcPr>
          <w:p w:rsidR="00AA54E2" w:rsidRPr="00E65E17" w:rsidRDefault="009B7793" w:rsidP="00E65E17">
            <w:pPr>
              <w:pStyle w:val="NoSpacing"/>
              <w:jc w:val="center"/>
            </w:pPr>
            <w:r>
              <w:t>7</w:t>
            </w:r>
          </w:p>
        </w:tc>
        <w:tc>
          <w:tcPr>
            <w:tcW w:w="1528" w:type="dxa"/>
          </w:tcPr>
          <w:p w:rsidR="00AA54E2" w:rsidRPr="009B7793" w:rsidRDefault="009B7793" w:rsidP="009B7793">
            <w:pPr>
              <w:pStyle w:val="NoSpacing"/>
              <w:jc w:val="center"/>
            </w:pPr>
            <w:r>
              <w:t>18</w:t>
            </w:r>
          </w:p>
        </w:tc>
        <w:tc>
          <w:tcPr>
            <w:tcW w:w="1528" w:type="dxa"/>
          </w:tcPr>
          <w:p w:rsidR="00AA54E2" w:rsidRPr="009B7793" w:rsidRDefault="009B7793" w:rsidP="009B7793">
            <w:pPr>
              <w:pStyle w:val="NoSpacing"/>
              <w:jc w:val="center"/>
            </w:pPr>
            <w:r>
              <w:t>11</w:t>
            </w:r>
          </w:p>
        </w:tc>
        <w:tc>
          <w:tcPr>
            <w:tcW w:w="1529" w:type="dxa"/>
          </w:tcPr>
          <w:p w:rsidR="00AA54E2" w:rsidRPr="009B7793" w:rsidRDefault="009B7793" w:rsidP="009B7793">
            <w:pPr>
              <w:pStyle w:val="NoSpacing"/>
              <w:jc w:val="center"/>
            </w:pPr>
            <w:r>
              <w:t>3</w:t>
            </w:r>
          </w:p>
        </w:tc>
        <w:tc>
          <w:tcPr>
            <w:tcW w:w="1527" w:type="dxa"/>
          </w:tcPr>
          <w:p w:rsidR="00AA54E2" w:rsidRDefault="009B7793" w:rsidP="009B7793">
            <w:pPr>
              <w:pStyle w:val="NoSpacing"/>
              <w:jc w:val="center"/>
            </w:pPr>
            <w:r>
              <w:t>5</w:t>
            </w:r>
          </w:p>
          <w:p w:rsidR="009B7793" w:rsidRPr="009B7793" w:rsidRDefault="009B7793" w:rsidP="009B7793">
            <w:pPr>
              <w:pStyle w:val="NoSpacing"/>
              <w:jc w:val="center"/>
            </w:pPr>
            <w:r>
              <w:t>(4 not turned in)</w:t>
            </w:r>
          </w:p>
        </w:tc>
      </w:tr>
    </w:tbl>
    <w:p w:rsidR="00785F4C" w:rsidRPr="00785F4C" w:rsidRDefault="00785F4C" w:rsidP="00785F4C">
      <w:pPr>
        <w:pStyle w:val="NoSpacing"/>
        <w:ind w:left="360"/>
        <w:rPr>
          <w:b/>
        </w:rPr>
      </w:pPr>
    </w:p>
    <w:p w:rsidR="00AA54E2" w:rsidRDefault="00AA54E2" w:rsidP="009903DA">
      <w:pPr>
        <w:pStyle w:val="NoSpacing"/>
      </w:pPr>
    </w:p>
    <w:p w:rsidR="00356A71" w:rsidRDefault="00E65E17" w:rsidP="003F53B6">
      <w:pPr>
        <w:pStyle w:val="NoSpacing"/>
        <w:numPr>
          <w:ilvl w:val="0"/>
          <w:numId w:val="6"/>
        </w:numPr>
      </w:pPr>
      <w:r>
        <w:rPr>
          <w:b/>
        </w:rPr>
        <w:t>Student Performance on Outcomes:</w:t>
      </w:r>
      <w:r>
        <w:t xml:space="preserve"> the faculty inquiry group found that the selected A papers were worthy of such a score; they found common strengths in all three outcomes of strong writing, analytical and information literacy skills. The group found greater range of disagreement in assessing </w:t>
      </w:r>
      <w:r w:rsidR="003F53B6">
        <w:t>B papers</w:t>
      </w:r>
      <w:r w:rsidR="00356A71">
        <w:t>, and general agreement on C papers</w:t>
      </w:r>
      <w:r w:rsidR="003F53B6">
        <w:t xml:space="preserve">.  </w:t>
      </w:r>
    </w:p>
    <w:p w:rsidR="00356A71" w:rsidRDefault="00356A71" w:rsidP="00356A71">
      <w:pPr>
        <w:pStyle w:val="NoSpacing"/>
        <w:ind w:left="720"/>
      </w:pPr>
    </w:p>
    <w:p w:rsidR="00356A71" w:rsidRDefault="003F53B6" w:rsidP="00356A71">
      <w:pPr>
        <w:pStyle w:val="NoSpacing"/>
        <w:ind w:left="720"/>
      </w:pPr>
      <w:r>
        <w:t xml:space="preserve">Overall </w:t>
      </w:r>
      <w:r w:rsidR="00356A71">
        <w:t xml:space="preserve">assessment of student </w:t>
      </w:r>
      <w:r>
        <w:t xml:space="preserve">performance: </w:t>
      </w:r>
    </w:p>
    <w:p w:rsidR="00356A71" w:rsidRDefault="00356A71" w:rsidP="00356A71">
      <w:pPr>
        <w:pStyle w:val="NoSpacing"/>
        <w:numPr>
          <w:ilvl w:val="0"/>
          <w:numId w:val="7"/>
        </w:numPr>
      </w:pPr>
      <w:r w:rsidRPr="00356A71">
        <w:rPr>
          <w:b/>
        </w:rPr>
        <w:t>C</w:t>
      </w:r>
      <w:r w:rsidR="003F53B6" w:rsidRPr="00356A71">
        <w:rPr>
          <w:b/>
        </w:rPr>
        <w:t>ompetent in writing</w:t>
      </w:r>
      <w:r>
        <w:rPr>
          <w:b/>
        </w:rPr>
        <w:t>--</w:t>
      </w:r>
      <w:r w:rsidR="008E3BFF">
        <w:t>solid grammatical skills;</w:t>
      </w:r>
      <w:r w:rsidR="003F53B6">
        <w:t xml:space="preserve"> as expected,</w:t>
      </w:r>
      <w:r w:rsidR="008E3BFF">
        <w:t xml:space="preserve"> style, organization and coherence varied and </w:t>
      </w:r>
      <w:r w:rsidR="003F53B6">
        <w:t xml:space="preserve">could use improvement, but this comes from continuous practice. </w:t>
      </w:r>
    </w:p>
    <w:p w:rsidR="00356A71" w:rsidRDefault="003F53B6" w:rsidP="00356A71">
      <w:pPr>
        <w:pStyle w:val="NoSpacing"/>
        <w:numPr>
          <w:ilvl w:val="0"/>
          <w:numId w:val="7"/>
        </w:numPr>
      </w:pPr>
      <w:r w:rsidRPr="00356A71">
        <w:rPr>
          <w:b/>
        </w:rPr>
        <w:t>Satisfactory in critical thinking</w:t>
      </w:r>
      <w:r w:rsidR="00356A71">
        <w:t>--</w:t>
      </w:r>
      <w:r>
        <w:t xml:space="preserve">thesis formation and development and significance </w:t>
      </w:r>
      <w:r w:rsidR="003B3DD1">
        <w:t xml:space="preserve">are </w:t>
      </w:r>
      <w:r>
        <w:t xml:space="preserve">areas that need improvement, but emergent skills are developed across the board in these survey/intro classes. </w:t>
      </w:r>
    </w:p>
    <w:p w:rsidR="003F53B6" w:rsidRDefault="003F53B6" w:rsidP="00356A71">
      <w:pPr>
        <w:pStyle w:val="NoSpacing"/>
        <w:numPr>
          <w:ilvl w:val="0"/>
          <w:numId w:val="7"/>
        </w:numPr>
      </w:pPr>
      <w:r w:rsidRPr="00356A71">
        <w:rPr>
          <w:b/>
        </w:rPr>
        <w:t>Solid</w:t>
      </w:r>
      <w:r w:rsidR="003B3DD1">
        <w:rPr>
          <w:b/>
        </w:rPr>
        <w:t xml:space="preserve"> in i</w:t>
      </w:r>
      <w:r w:rsidR="007F12BE" w:rsidRPr="00356A71">
        <w:rPr>
          <w:b/>
        </w:rPr>
        <w:t>nformation</w:t>
      </w:r>
      <w:r w:rsidRPr="00356A71">
        <w:rPr>
          <w:b/>
        </w:rPr>
        <w:t xml:space="preserve"> literacy</w:t>
      </w:r>
      <w:r w:rsidR="00356A71">
        <w:t>--</w:t>
      </w:r>
      <w:r>
        <w:t>citation conventions</w:t>
      </w:r>
      <w:r w:rsidR="008E3BFF">
        <w:t xml:space="preserve"> and expectations</w:t>
      </w:r>
      <w:r w:rsidR="003B3DD1">
        <w:t>, however,</w:t>
      </w:r>
      <w:r>
        <w:t xml:space="preserve"> are dependent upon disc</w:t>
      </w:r>
      <w:r w:rsidR="008E3BFF">
        <w:t>ipline and instructor.</w:t>
      </w:r>
    </w:p>
    <w:p w:rsidR="003F53B6" w:rsidRDefault="003F53B6" w:rsidP="003F53B6">
      <w:pPr>
        <w:pStyle w:val="NoSpacing"/>
      </w:pPr>
    </w:p>
    <w:p w:rsidR="00470F9E" w:rsidRDefault="00470F9E" w:rsidP="00470F9E">
      <w:pPr>
        <w:pStyle w:val="NoSpacing"/>
      </w:pPr>
    </w:p>
    <w:p w:rsidR="00356A71" w:rsidRDefault="00356A71" w:rsidP="00470F9E">
      <w:pPr>
        <w:pStyle w:val="NoSpacing"/>
      </w:pPr>
      <w:r w:rsidRPr="006842C2">
        <w:rPr>
          <w:b/>
        </w:rPr>
        <w:t>III)</w:t>
      </w:r>
      <w:r w:rsidR="006842C2" w:rsidRPr="006842C2">
        <w:rPr>
          <w:b/>
        </w:rPr>
        <w:t xml:space="preserve"> Reflections and </w:t>
      </w:r>
      <w:r w:rsidRPr="006842C2">
        <w:rPr>
          <w:b/>
        </w:rPr>
        <w:t>Recommendations</w:t>
      </w:r>
    </w:p>
    <w:p w:rsidR="006842C2" w:rsidRDefault="006842C2" w:rsidP="00470F9E">
      <w:pPr>
        <w:pStyle w:val="NoSpacing"/>
      </w:pPr>
    </w:p>
    <w:p w:rsidR="006842C2" w:rsidRDefault="006842C2" w:rsidP="006842C2">
      <w:pPr>
        <w:pStyle w:val="NoSpacing"/>
        <w:numPr>
          <w:ilvl w:val="0"/>
          <w:numId w:val="8"/>
        </w:numPr>
      </w:pPr>
      <w:r>
        <w:rPr>
          <w:b/>
        </w:rPr>
        <w:t>AA/GER Outcomes Language:</w:t>
      </w:r>
      <w:r>
        <w:t xml:space="preserve"> The inquiry group found the language of the existing AA and GER outcomes, as applicable to the Humanities, bulky when creating an assessment rubric. As seen in the attached rubric, the team chose to simplify the outcomes assessed to effective communication, critical thinking and information literacy. More specific criteria to elaborate </w:t>
      </w:r>
      <w:r>
        <w:lastRenderedPageBreak/>
        <w:t>what skills w</w:t>
      </w:r>
      <w:r w:rsidR="004D2B0C">
        <w:t>ere assessed in each outcome were</w:t>
      </w:r>
      <w:r>
        <w:t xml:space="preserve"> developed for the individual rubrics, but even the</w:t>
      </w:r>
      <w:r w:rsidR="00991508">
        <w:t>n, the group thought that simplified was better than too many and too much detailed criteria.</w:t>
      </w:r>
    </w:p>
    <w:p w:rsidR="00991508" w:rsidRDefault="00991508" w:rsidP="00991508">
      <w:pPr>
        <w:pStyle w:val="NoSpacing"/>
        <w:ind w:left="720"/>
      </w:pPr>
    </w:p>
    <w:p w:rsidR="00A12DD1" w:rsidRDefault="00991508" w:rsidP="00A12DD1">
      <w:pPr>
        <w:pStyle w:val="NoSpacing"/>
        <w:numPr>
          <w:ilvl w:val="0"/>
          <w:numId w:val="8"/>
        </w:numPr>
      </w:pPr>
      <w:r w:rsidRPr="008700D7">
        <w:rPr>
          <w:b/>
        </w:rPr>
        <w:t>Rubrics</w:t>
      </w:r>
      <w:r>
        <w:t xml:space="preserve">: Not surprisingly when gathering academics together, the creation and use of assessment rubrics generated much discussion. Some challenges that arose included how to account for disciplinary differences in assessing outcomes criteria. For example, Philosophy sees “sustained argument” </w:t>
      </w:r>
      <w:r w:rsidR="008E3BFF">
        <w:t>through a bit different lens than History</w:t>
      </w:r>
      <w:r>
        <w:t xml:space="preserve"> when assessing critical thinking</w:t>
      </w:r>
      <w:r w:rsidR="008E3BFF">
        <w:t xml:space="preserve">. Different faculty expectations also emerged over </w:t>
      </w:r>
      <w:r>
        <w:t>appropriate citation</w:t>
      </w:r>
      <w:r w:rsidR="00D77B4F">
        <w:t xml:space="preserve"> convention</w:t>
      </w:r>
      <w:r w:rsidR="008E3BFF">
        <w:t>s</w:t>
      </w:r>
      <w:r>
        <w:t>, or relevant use of supporting evidence in a History paper</w:t>
      </w:r>
      <w:r w:rsidR="00D77B4F">
        <w:t xml:space="preserve"> analyzing medieval documents</w:t>
      </w:r>
      <w:r>
        <w:t xml:space="preserve"> compared with a Philosophy</w:t>
      </w:r>
      <w:r w:rsidR="00D77B4F">
        <w:t xml:space="preserve"> paper applying Mill’s methods of a</w:t>
      </w:r>
      <w:r w:rsidR="008E3BFF">
        <w:t>greement to an assigned reading.</w:t>
      </w:r>
      <w:r w:rsidR="00D77B4F">
        <w:t xml:space="preserve"> Nonetheless, the inquiry group strongly agreed that the rubric-making and assessing exercise itsel</w:t>
      </w:r>
      <w:r w:rsidR="004D2B0C">
        <w:t>f wa</w:t>
      </w:r>
      <w:r w:rsidR="008700D7">
        <w:t>s a worthwhile learning experience for the group</w:t>
      </w:r>
      <w:r w:rsidR="004D2B0C">
        <w:t xml:space="preserve">. They also agreed </w:t>
      </w:r>
      <w:r w:rsidR="00D77B4F">
        <w:t>that the rubric</w:t>
      </w:r>
      <w:r w:rsidR="004D2B0C">
        <w:t>s</w:t>
      </w:r>
      <w:r w:rsidR="00D77B4F">
        <w:t xml:space="preserve"> could serve as a </w:t>
      </w:r>
      <w:r w:rsidR="008700D7">
        <w:t>general guide</w:t>
      </w:r>
      <w:r w:rsidR="004D2B0C">
        <w:t xml:space="preserve"> for each department and faculty teac</w:t>
      </w:r>
      <w:r w:rsidR="008700D7">
        <w:t>hing Humanities AA/GER courses, and it</w:t>
      </w:r>
      <w:r w:rsidR="004D2B0C">
        <w:t xml:space="preserve"> could be modified as necessary to fit the needs of each discipline and faculty.</w:t>
      </w:r>
      <w:r w:rsidR="008700D7">
        <w:t xml:space="preserve"> This assessment pilot confirmed that students need to be made aware of the expectations, outcomes for the course and the individual assignments, whether communicated by paper grading rubric, or prose paper guidelines.</w:t>
      </w:r>
    </w:p>
    <w:p w:rsidR="008700D7" w:rsidRDefault="008700D7" w:rsidP="008700D7">
      <w:pPr>
        <w:pStyle w:val="ListParagraph"/>
      </w:pPr>
    </w:p>
    <w:p w:rsidR="008700D7" w:rsidRDefault="008700D7" w:rsidP="008700D7">
      <w:pPr>
        <w:pStyle w:val="NoSpacing"/>
      </w:pPr>
    </w:p>
    <w:p w:rsidR="00A12DD1" w:rsidRPr="00A12DD1" w:rsidRDefault="00A12DD1" w:rsidP="00A12DD1">
      <w:pPr>
        <w:pStyle w:val="NoSpacing"/>
        <w:numPr>
          <w:ilvl w:val="0"/>
          <w:numId w:val="8"/>
        </w:numPr>
        <w:rPr>
          <w:b/>
        </w:rPr>
      </w:pPr>
      <w:r>
        <w:rPr>
          <w:b/>
        </w:rPr>
        <w:t>T</w:t>
      </w:r>
      <w:r w:rsidRPr="00A12DD1">
        <w:rPr>
          <w:b/>
        </w:rPr>
        <w:t>eaching and Learning:</w:t>
      </w:r>
      <w:r>
        <w:t xml:space="preserve"> The Humanities faculty working group found this assessment inquiry to be extremely beneficial for their own teaching practices. Comparing syllabi, assignments, paper </w:t>
      </w:r>
      <w:r w:rsidR="008700D7">
        <w:t xml:space="preserve">guidelines, grading rubrics, and </w:t>
      </w:r>
      <w:r>
        <w:t>student papers generated vigorous and sustained discussion on the part of the group—what teaching techniques had worked, not worked, why and why not. In short, this was an excellent opportunity for pedagogical development. Students can only benefit as faculty bring back to the classroom refined focus on student learning outcomes, and enhanced techniques in building and improving on student academic skills. The cross-disciplinary exchange was also quite useful, noting the differences</w:t>
      </w:r>
      <w:r w:rsidR="008700D7">
        <w:t xml:space="preserve"> and</w:t>
      </w:r>
      <w:r>
        <w:t xml:space="preserve"> the commonalities that bind the Humanities together. Bringing </w:t>
      </w:r>
      <w:r w:rsidR="007F12BE">
        <w:t>together adjunct</w:t>
      </w:r>
      <w:r>
        <w:t>, term</w:t>
      </w:r>
      <w:r w:rsidR="0058701F">
        <w:t>, online</w:t>
      </w:r>
      <w:r>
        <w:t xml:space="preserve"> and full-time tenured faculty help</w:t>
      </w:r>
      <w:r w:rsidR="0058701F">
        <w:t>ed</w:t>
      </w:r>
      <w:r>
        <w:t xml:space="preserve"> to create a strong sense of </w:t>
      </w:r>
      <w:r w:rsidR="00722340">
        <w:t xml:space="preserve">a </w:t>
      </w:r>
      <w:r>
        <w:t>shared mission</w:t>
      </w:r>
      <w:r w:rsidR="00F14416">
        <w:t xml:space="preserve">, of the continuing need to communicate and teach </w:t>
      </w:r>
      <w:r w:rsidR="00722340">
        <w:t>th</w:t>
      </w:r>
      <w:r>
        <w:t xml:space="preserve">e value of </w:t>
      </w:r>
      <w:r w:rsidR="00722340">
        <w:t xml:space="preserve">the </w:t>
      </w:r>
      <w:r>
        <w:t>Humanities</w:t>
      </w:r>
      <w:r w:rsidR="00F14416">
        <w:t xml:space="preserve"> as part of</w:t>
      </w:r>
      <w:r>
        <w:t xml:space="preserve"> any general education program. </w:t>
      </w:r>
    </w:p>
    <w:p w:rsidR="004D2B0C" w:rsidRDefault="004D2B0C" w:rsidP="004D2B0C">
      <w:pPr>
        <w:pStyle w:val="ListParagraph"/>
      </w:pPr>
    </w:p>
    <w:p w:rsidR="00D91ECB" w:rsidRDefault="00D91ECB" w:rsidP="00D91ECB">
      <w:pPr>
        <w:pStyle w:val="ListParagraph"/>
        <w:rPr>
          <w:b/>
        </w:rPr>
      </w:pPr>
    </w:p>
    <w:p w:rsidR="00991508" w:rsidRPr="006842C2" w:rsidRDefault="00D91ECB" w:rsidP="00991508">
      <w:pPr>
        <w:pStyle w:val="NoSpacing"/>
      </w:pPr>
      <w:r>
        <w:rPr>
          <w:b/>
          <w:u w:val="single"/>
        </w:rPr>
        <w:t>IV) Concluding Thoughts:</w:t>
      </w:r>
      <w:r>
        <w:t xml:space="preserve"> Many thanks to </w:t>
      </w:r>
      <w:r w:rsidR="00A12DD1">
        <w:t xml:space="preserve">Susan Kalina, Vice Provost of </w:t>
      </w:r>
      <w:r>
        <w:t xml:space="preserve">OUAA and </w:t>
      </w:r>
      <w:r w:rsidR="00A12DD1">
        <w:t xml:space="preserve">Dean John Stalvey and Senior Associate Dean Patty Linton, </w:t>
      </w:r>
      <w:r>
        <w:t>CAS for their support of this project</w:t>
      </w:r>
      <w:r w:rsidR="00A12DD1">
        <w:t xml:space="preserve">. The group </w:t>
      </w:r>
      <w:r w:rsidR="007F12BE">
        <w:t>recommends further</w:t>
      </w:r>
      <w:r w:rsidR="00A12DD1">
        <w:t xml:space="preserve"> use of these faculty inquiry groups for assessing the AA and GER programs. Working on a staggered assessment of SLOs, utilizing a small working faculty group, sampling a targeted selection of student products will not only provide a more sustainable and useful model of AA/GER assessment, it will generate valid and vibrant pedagogical discussion amongst </w:t>
      </w:r>
      <w:r w:rsidR="003B3DD1">
        <w:t>participating faculty, and make a positive impact on student performance.</w:t>
      </w:r>
      <w:r w:rsidR="00A12DD1">
        <w:t xml:space="preserve"> </w:t>
      </w:r>
    </w:p>
    <w:p w:rsidR="00470F9E" w:rsidRDefault="00470F9E" w:rsidP="00470F9E">
      <w:pPr>
        <w:pStyle w:val="NoSpacing"/>
      </w:pPr>
    </w:p>
    <w:p w:rsidR="005107AE" w:rsidRDefault="005107AE">
      <w:r>
        <w:br w:type="page"/>
      </w:r>
    </w:p>
    <w:p w:rsidR="005107AE" w:rsidRDefault="005107AE" w:rsidP="005107AE">
      <w:pPr>
        <w:shd w:val="clear" w:color="auto" w:fill="FFFFFF"/>
        <w:spacing w:line="360" w:lineRule="atLeast"/>
        <w:textAlignment w:val="baseline"/>
        <w:outlineLvl w:val="1"/>
        <w:rPr>
          <w:rFonts w:ascii="Arial" w:hAnsi="Arial" w:cs="Arial"/>
          <w:b/>
          <w:bCs/>
          <w:color w:val="222222"/>
          <w:sz w:val="32"/>
          <w:szCs w:val="32"/>
        </w:rPr>
      </w:pPr>
      <w:r w:rsidRPr="00F14416">
        <w:rPr>
          <w:rFonts w:ascii="Arial" w:hAnsi="Arial" w:cs="Arial"/>
          <w:b/>
          <w:bCs/>
          <w:color w:val="222222"/>
          <w:sz w:val="32"/>
          <w:szCs w:val="32"/>
        </w:rPr>
        <w:lastRenderedPageBreak/>
        <w:t>AA Program Student Learning Outcomes</w:t>
      </w:r>
      <w:r>
        <w:rPr>
          <w:rFonts w:ascii="Arial" w:hAnsi="Arial" w:cs="Arial"/>
          <w:b/>
          <w:bCs/>
          <w:color w:val="222222"/>
          <w:sz w:val="32"/>
          <w:szCs w:val="32"/>
        </w:rPr>
        <w:t xml:space="preserve"> </w:t>
      </w:r>
    </w:p>
    <w:p w:rsidR="005107AE" w:rsidRDefault="005107AE" w:rsidP="005107AE">
      <w:pPr>
        <w:pStyle w:val="NoSpacing"/>
      </w:pPr>
      <w:r>
        <w:t>Students graduating with an AA degree from UAA will be able to:</w:t>
      </w:r>
    </w:p>
    <w:p w:rsidR="005107AE" w:rsidRDefault="005107AE" w:rsidP="005107AE">
      <w:pPr>
        <w:numPr>
          <w:ilvl w:val="0"/>
          <w:numId w:val="10"/>
        </w:numPr>
        <w:shd w:val="clear" w:color="auto" w:fill="FFFFFF"/>
        <w:spacing w:after="0" w:line="360" w:lineRule="atLeast"/>
        <w:textAlignment w:val="baseline"/>
        <w:rPr>
          <w:rFonts w:ascii="inherit" w:hAnsi="inherit" w:cs="Arial"/>
          <w:color w:val="222222"/>
        </w:rPr>
      </w:pPr>
      <w:r>
        <w:rPr>
          <w:rFonts w:ascii="inherit" w:hAnsi="inherit" w:cs="Arial"/>
          <w:color w:val="222222"/>
        </w:rPr>
        <w:t>Communicate effectively with diverse audiences (individual, group, or public) using a variety of verbal and nonverbal communication strategies;</w:t>
      </w:r>
    </w:p>
    <w:p w:rsidR="005107AE" w:rsidRDefault="005107AE" w:rsidP="005107AE">
      <w:pPr>
        <w:numPr>
          <w:ilvl w:val="0"/>
          <w:numId w:val="10"/>
        </w:numPr>
        <w:shd w:val="clear" w:color="auto" w:fill="FFFFFF"/>
        <w:spacing w:after="0" w:line="360" w:lineRule="atLeast"/>
        <w:textAlignment w:val="baseline"/>
        <w:rPr>
          <w:rFonts w:ascii="inherit" w:hAnsi="inherit" w:cs="Arial"/>
          <w:color w:val="222222"/>
        </w:rPr>
      </w:pPr>
      <w:r>
        <w:rPr>
          <w:rFonts w:ascii="inherit" w:hAnsi="inherit" w:cs="Arial"/>
          <w:color w:val="222222"/>
        </w:rPr>
        <w:t>Respond effectively to writing assignments using appropriate genres and standard written English;</w:t>
      </w:r>
    </w:p>
    <w:p w:rsidR="005107AE" w:rsidRDefault="005107AE" w:rsidP="005107AE">
      <w:pPr>
        <w:numPr>
          <w:ilvl w:val="0"/>
          <w:numId w:val="10"/>
        </w:numPr>
        <w:shd w:val="clear" w:color="auto" w:fill="FFFFFF"/>
        <w:spacing w:after="0" w:line="360" w:lineRule="atLeast"/>
        <w:textAlignment w:val="baseline"/>
        <w:rPr>
          <w:rFonts w:ascii="inherit" w:hAnsi="inherit" w:cs="Arial"/>
          <w:color w:val="222222"/>
        </w:rPr>
      </w:pPr>
      <w:r>
        <w:rPr>
          <w:rFonts w:ascii="inherit" w:hAnsi="inherit" w:cs="Arial"/>
          <w:color w:val="222222"/>
        </w:rPr>
        <w:t>Use library and electronic research responsibly and appropriately;</w:t>
      </w:r>
    </w:p>
    <w:p w:rsidR="005107AE" w:rsidRDefault="005107AE" w:rsidP="005107AE">
      <w:pPr>
        <w:numPr>
          <w:ilvl w:val="0"/>
          <w:numId w:val="10"/>
        </w:numPr>
        <w:shd w:val="clear" w:color="auto" w:fill="FFFFFF"/>
        <w:spacing w:after="0" w:line="360" w:lineRule="atLeast"/>
        <w:textAlignment w:val="baseline"/>
        <w:rPr>
          <w:rFonts w:ascii="inherit" w:hAnsi="inherit" w:cs="Arial"/>
          <w:color w:val="222222"/>
        </w:rPr>
      </w:pPr>
      <w:r>
        <w:rPr>
          <w:rFonts w:ascii="inherit" w:hAnsi="inherit" w:cs="Arial"/>
          <w:color w:val="222222"/>
        </w:rPr>
        <w:t>Identify, describe, and evaluate the aesthetic, historical and philosophical aspects of material culture, including artistic expressions, language, and texts;</w:t>
      </w:r>
    </w:p>
    <w:p w:rsidR="005107AE" w:rsidRDefault="005107AE" w:rsidP="005107AE">
      <w:pPr>
        <w:numPr>
          <w:ilvl w:val="0"/>
          <w:numId w:val="10"/>
        </w:numPr>
        <w:shd w:val="clear" w:color="auto" w:fill="FFFFFF"/>
        <w:spacing w:after="0" w:line="360" w:lineRule="atLeast"/>
        <w:textAlignment w:val="baseline"/>
        <w:rPr>
          <w:rFonts w:ascii="inherit" w:hAnsi="inherit" w:cs="Arial"/>
          <w:color w:val="222222"/>
        </w:rPr>
      </w:pPr>
      <w:r>
        <w:rPr>
          <w:rFonts w:ascii="inherit" w:hAnsi="inherit" w:cs="Arial"/>
          <w:color w:val="222222"/>
        </w:rPr>
        <w:t>Apply critical thinking skills to identify the premises and conclusions of arguments, evaluate their soundness, and recognize common fallacies;</w:t>
      </w:r>
    </w:p>
    <w:p w:rsidR="005107AE" w:rsidRDefault="005107AE" w:rsidP="005107AE">
      <w:pPr>
        <w:numPr>
          <w:ilvl w:val="0"/>
          <w:numId w:val="10"/>
        </w:numPr>
        <w:shd w:val="clear" w:color="auto" w:fill="FFFFFF"/>
        <w:spacing w:after="0" w:line="360" w:lineRule="atLeast"/>
        <w:textAlignment w:val="baseline"/>
        <w:rPr>
          <w:rFonts w:ascii="inherit" w:hAnsi="inherit" w:cs="Arial"/>
          <w:color w:val="222222"/>
        </w:rPr>
      </w:pPr>
      <w:r>
        <w:rPr>
          <w:rFonts w:ascii="inherit" w:hAnsi="inherit" w:cs="Arial"/>
          <w:color w:val="222222"/>
        </w:rPr>
        <w:t>Use appropriate mathematical language and symbols to develop and communicate solutions and demonstrate quantitative and analytical skills and knowledge;</w:t>
      </w:r>
    </w:p>
    <w:p w:rsidR="005107AE" w:rsidRDefault="005107AE" w:rsidP="005107AE">
      <w:pPr>
        <w:numPr>
          <w:ilvl w:val="0"/>
          <w:numId w:val="10"/>
        </w:numPr>
        <w:shd w:val="clear" w:color="auto" w:fill="FFFFFF"/>
        <w:spacing w:after="0" w:line="360" w:lineRule="atLeast"/>
        <w:textAlignment w:val="baseline"/>
        <w:rPr>
          <w:rFonts w:ascii="inherit" w:hAnsi="inherit" w:cs="Arial"/>
          <w:color w:val="222222"/>
        </w:rPr>
      </w:pPr>
      <w:r>
        <w:rPr>
          <w:rFonts w:ascii="inherit" w:hAnsi="inherit" w:cs="Arial"/>
          <w:color w:val="222222"/>
        </w:rPr>
        <w:t>Articulate the fundamentals, developments, and impacts of one or more scientific disciplines and develop and analyze evidence-based conclusions about the natural and social world.</w:t>
      </w:r>
    </w:p>
    <w:p w:rsidR="005107AE" w:rsidRDefault="005107AE" w:rsidP="005107AE">
      <w:pPr>
        <w:spacing w:after="200" w:line="276" w:lineRule="auto"/>
        <w:rPr>
          <w:rFonts w:ascii="inherit" w:hAnsi="inherit" w:cs="Arial"/>
          <w:color w:val="222222"/>
        </w:rPr>
      </w:pPr>
    </w:p>
    <w:p w:rsidR="005107AE" w:rsidRPr="00F14416" w:rsidRDefault="005107AE" w:rsidP="005107AE">
      <w:pPr>
        <w:pStyle w:val="NoSpacing"/>
        <w:rPr>
          <w:b/>
          <w:sz w:val="32"/>
          <w:szCs w:val="32"/>
        </w:rPr>
      </w:pPr>
      <w:r w:rsidRPr="00F14416">
        <w:rPr>
          <w:b/>
          <w:sz w:val="32"/>
          <w:szCs w:val="32"/>
        </w:rPr>
        <w:t>GER Student Learning Outcomes</w:t>
      </w:r>
    </w:p>
    <w:p w:rsidR="005107AE" w:rsidRPr="005107AE" w:rsidRDefault="005107AE" w:rsidP="005107AE">
      <w:pPr>
        <w:pStyle w:val="NoSpacing"/>
        <w:rPr>
          <w:sz w:val="28"/>
          <w:szCs w:val="28"/>
        </w:rPr>
      </w:pPr>
      <w:r w:rsidRPr="005107AE">
        <w:rPr>
          <w:sz w:val="28"/>
          <w:szCs w:val="28"/>
        </w:rPr>
        <w:t>After completing the GERs, UAA students shall be able to:</w:t>
      </w:r>
    </w:p>
    <w:p w:rsidR="005107AE" w:rsidRDefault="005107AE" w:rsidP="005107AE">
      <w:pPr>
        <w:numPr>
          <w:ilvl w:val="0"/>
          <w:numId w:val="11"/>
        </w:numPr>
        <w:shd w:val="clear" w:color="auto" w:fill="FFFFFF"/>
        <w:spacing w:after="0" w:line="360" w:lineRule="atLeast"/>
        <w:textAlignment w:val="baseline"/>
        <w:rPr>
          <w:rFonts w:ascii="inherit" w:hAnsi="inherit" w:cs="Arial"/>
          <w:color w:val="222222"/>
        </w:rPr>
      </w:pPr>
      <w:r>
        <w:rPr>
          <w:rFonts w:ascii="inherit" w:hAnsi="inherit" w:cs="Arial"/>
          <w:color w:val="222222"/>
        </w:rPr>
        <w:t>Communicate effectively in a variety of contexts and formats;</w:t>
      </w:r>
    </w:p>
    <w:p w:rsidR="005107AE" w:rsidRDefault="005107AE" w:rsidP="005107AE">
      <w:pPr>
        <w:numPr>
          <w:ilvl w:val="0"/>
          <w:numId w:val="11"/>
        </w:numPr>
        <w:shd w:val="clear" w:color="auto" w:fill="FFFFFF"/>
        <w:spacing w:after="0" w:line="360" w:lineRule="atLeast"/>
        <w:textAlignment w:val="baseline"/>
        <w:rPr>
          <w:rFonts w:ascii="inherit" w:hAnsi="inherit" w:cs="Arial"/>
          <w:color w:val="222222"/>
        </w:rPr>
      </w:pPr>
      <w:r>
        <w:rPr>
          <w:rFonts w:ascii="inherit" w:hAnsi="inherit" w:cs="Arial"/>
          <w:color w:val="222222"/>
        </w:rPr>
        <w:t>Reason mathematically and analyze quantitative and qualitative data competently to reach sound conclusions;</w:t>
      </w:r>
    </w:p>
    <w:p w:rsidR="005107AE" w:rsidRDefault="005107AE" w:rsidP="005107AE">
      <w:pPr>
        <w:numPr>
          <w:ilvl w:val="0"/>
          <w:numId w:val="11"/>
        </w:numPr>
        <w:shd w:val="clear" w:color="auto" w:fill="FFFFFF"/>
        <w:spacing w:after="0" w:line="360" w:lineRule="atLeast"/>
        <w:textAlignment w:val="baseline"/>
        <w:rPr>
          <w:rFonts w:ascii="inherit" w:hAnsi="inherit" w:cs="Arial"/>
          <w:color w:val="222222"/>
        </w:rPr>
      </w:pPr>
      <w:r>
        <w:rPr>
          <w:rFonts w:ascii="inherit" w:hAnsi="inherit" w:cs="Arial"/>
          <w:color w:val="222222"/>
        </w:rPr>
        <w:t>Relate knowledge to the historical context in which it developed and the human problems it addresses;</w:t>
      </w:r>
    </w:p>
    <w:p w:rsidR="005107AE" w:rsidRDefault="005107AE" w:rsidP="005107AE">
      <w:pPr>
        <w:numPr>
          <w:ilvl w:val="0"/>
          <w:numId w:val="11"/>
        </w:numPr>
        <w:shd w:val="clear" w:color="auto" w:fill="FFFFFF"/>
        <w:spacing w:after="0" w:line="360" w:lineRule="atLeast"/>
        <w:textAlignment w:val="baseline"/>
        <w:rPr>
          <w:rFonts w:ascii="inherit" w:hAnsi="inherit" w:cs="Arial"/>
          <w:color w:val="222222"/>
        </w:rPr>
      </w:pPr>
      <w:r>
        <w:rPr>
          <w:rFonts w:ascii="inherit" w:hAnsi="inherit" w:cs="Arial"/>
          <w:color w:val="222222"/>
        </w:rPr>
        <w:t>Interpret different systems of aesthetic representation and understand their historical and cultural contexts;</w:t>
      </w:r>
    </w:p>
    <w:p w:rsidR="005107AE" w:rsidRDefault="005107AE" w:rsidP="005107AE">
      <w:pPr>
        <w:numPr>
          <w:ilvl w:val="0"/>
          <w:numId w:val="11"/>
        </w:numPr>
        <w:shd w:val="clear" w:color="auto" w:fill="FFFFFF"/>
        <w:spacing w:after="0" w:line="360" w:lineRule="atLeast"/>
        <w:textAlignment w:val="baseline"/>
        <w:rPr>
          <w:rFonts w:ascii="inherit" w:hAnsi="inherit" w:cs="Arial"/>
          <w:color w:val="222222"/>
        </w:rPr>
      </w:pPr>
      <w:r>
        <w:rPr>
          <w:rFonts w:ascii="inherit" w:hAnsi="inherit" w:cs="Arial"/>
          <w:color w:val="222222"/>
        </w:rPr>
        <w:t>Investigate the complexity of human institutions and behavior to better understand interpersonal, group and cultural dynamics;</w:t>
      </w:r>
    </w:p>
    <w:p w:rsidR="005107AE" w:rsidRDefault="005107AE" w:rsidP="005107AE">
      <w:pPr>
        <w:numPr>
          <w:ilvl w:val="0"/>
          <w:numId w:val="11"/>
        </w:numPr>
        <w:shd w:val="clear" w:color="auto" w:fill="FFFFFF"/>
        <w:spacing w:after="0" w:line="360" w:lineRule="atLeast"/>
        <w:textAlignment w:val="baseline"/>
        <w:rPr>
          <w:rFonts w:ascii="inherit" w:hAnsi="inherit" w:cs="Arial"/>
          <w:color w:val="222222"/>
        </w:rPr>
      </w:pPr>
      <w:r>
        <w:rPr>
          <w:rFonts w:ascii="inherit" w:hAnsi="inherit" w:cs="Arial"/>
          <w:color w:val="222222"/>
        </w:rPr>
        <w:t>Identify ways in which science has advanced the understanding of important natural processes;</w:t>
      </w:r>
    </w:p>
    <w:p w:rsidR="005107AE" w:rsidRDefault="005107AE" w:rsidP="005107AE">
      <w:pPr>
        <w:numPr>
          <w:ilvl w:val="0"/>
          <w:numId w:val="11"/>
        </w:numPr>
        <w:shd w:val="clear" w:color="auto" w:fill="FFFFFF"/>
        <w:spacing w:after="0" w:line="360" w:lineRule="atLeast"/>
        <w:textAlignment w:val="baseline"/>
        <w:rPr>
          <w:rFonts w:ascii="inherit" w:hAnsi="inherit" w:cs="Arial"/>
          <w:color w:val="222222"/>
        </w:rPr>
      </w:pPr>
      <w:r>
        <w:rPr>
          <w:rFonts w:ascii="inherit" w:hAnsi="inherit" w:cs="Arial"/>
          <w:color w:val="222222"/>
        </w:rPr>
        <w:t>Locate and use relevant information to make appropriate personal and professional decisions;</w:t>
      </w:r>
    </w:p>
    <w:p w:rsidR="005107AE" w:rsidRDefault="005107AE" w:rsidP="005107AE">
      <w:pPr>
        <w:numPr>
          <w:ilvl w:val="0"/>
          <w:numId w:val="11"/>
        </w:numPr>
        <w:shd w:val="clear" w:color="auto" w:fill="FFFFFF"/>
        <w:spacing w:after="0" w:line="360" w:lineRule="atLeast"/>
        <w:textAlignment w:val="baseline"/>
        <w:rPr>
          <w:rFonts w:ascii="inherit" w:hAnsi="inherit" w:cs="Arial"/>
          <w:color w:val="222222"/>
        </w:rPr>
      </w:pPr>
      <w:r>
        <w:rPr>
          <w:rFonts w:ascii="inherit" w:hAnsi="inherit" w:cs="Arial"/>
          <w:color w:val="222222"/>
        </w:rPr>
        <w:t>Adopt critical perspectives for understanding the forces of globalization and diversity; and</w:t>
      </w:r>
    </w:p>
    <w:p w:rsidR="005107AE" w:rsidRDefault="005107AE" w:rsidP="005107AE">
      <w:pPr>
        <w:numPr>
          <w:ilvl w:val="0"/>
          <w:numId w:val="11"/>
        </w:numPr>
        <w:shd w:val="clear" w:color="auto" w:fill="FFFFFF"/>
        <w:spacing w:after="0" w:line="360" w:lineRule="atLeast"/>
        <w:textAlignment w:val="baseline"/>
        <w:rPr>
          <w:rFonts w:ascii="inherit" w:hAnsi="inherit" w:cs="Arial"/>
          <w:color w:val="222222"/>
        </w:rPr>
      </w:pPr>
      <w:r w:rsidRPr="00F14416">
        <w:rPr>
          <w:rFonts w:ascii="inherit" w:hAnsi="inherit" w:cs="Arial"/>
          <w:color w:val="222222"/>
        </w:rPr>
        <w:t>Integrate knowledge and employ skills gained to synthesize creative thinking, critical judgment and personal experience in a meaningful and coherent manner.</w:t>
      </w:r>
    </w:p>
    <w:p w:rsidR="005107AE" w:rsidRPr="00F14416" w:rsidRDefault="005107AE" w:rsidP="005107AE">
      <w:pPr>
        <w:shd w:val="clear" w:color="auto" w:fill="FFFFFF"/>
        <w:spacing w:after="0" w:line="360" w:lineRule="atLeast"/>
        <w:ind w:left="720"/>
        <w:textAlignment w:val="baseline"/>
        <w:rPr>
          <w:rFonts w:ascii="inherit" w:hAnsi="inherit" w:cs="Arial"/>
          <w:color w:val="222222"/>
        </w:rPr>
      </w:pPr>
    </w:p>
    <w:p w:rsidR="005107AE" w:rsidRDefault="005107AE" w:rsidP="005107AE">
      <w:pPr>
        <w:pStyle w:val="NoSpacing"/>
      </w:pPr>
      <w:r>
        <w:rPr>
          <w:rStyle w:val="courselistcomment"/>
          <w:rFonts w:ascii="Arial" w:hAnsi="Arial" w:cs="Arial"/>
          <w:b/>
          <w:color w:val="222222"/>
          <w:bdr w:val="none" w:sz="0" w:space="0" w:color="auto" w:frame="1"/>
          <w:shd w:val="clear" w:color="auto" w:fill="FFFFFF"/>
        </w:rPr>
        <w:t>Tier 1</w:t>
      </w:r>
      <w:r>
        <w:rPr>
          <w:rStyle w:val="courselistcomment"/>
          <w:rFonts w:ascii="Arial" w:hAnsi="Arial" w:cs="Arial"/>
          <w:color w:val="222222"/>
          <w:bdr w:val="none" w:sz="0" w:space="0" w:color="auto" w:frame="1"/>
          <w:shd w:val="clear" w:color="auto" w:fill="FFFFFF"/>
        </w:rPr>
        <w:t xml:space="preserve">: Basic College-Level Skills, </w:t>
      </w:r>
      <w:r>
        <w:rPr>
          <w:shd w:val="clear" w:color="auto" w:fill="FFFFFF"/>
        </w:rPr>
        <w:t xml:space="preserve">12 credits          </w:t>
      </w:r>
      <w:r>
        <w:rPr>
          <w:rStyle w:val="courselistcomment"/>
          <w:rFonts w:ascii="Arial" w:hAnsi="Arial" w:cs="Arial"/>
          <w:b/>
          <w:color w:val="222222"/>
          <w:bdr w:val="none" w:sz="0" w:space="0" w:color="auto" w:frame="1"/>
          <w:shd w:val="clear" w:color="auto" w:fill="FFFFFF"/>
        </w:rPr>
        <w:t>Tier 2</w:t>
      </w:r>
      <w:r>
        <w:rPr>
          <w:rStyle w:val="courselistcomment"/>
          <w:rFonts w:ascii="Arial" w:hAnsi="Arial" w:cs="Arial"/>
          <w:color w:val="222222"/>
          <w:bdr w:val="none" w:sz="0" w:space="0" w:color="auto" w:frame="1"/>
          <w:shd w:val="clear" w:color="auto" w:fill="FFFFFF"/>
        </w:rPr>
        <w:t xml:space="preserve">: Disciplinary Areas, </w:t>
      </w:r>
      <w:r>
        <w:rPr>
          <w:shd w:val="clear" w:color="auto" w:fill="FFFFFF"/>
        </w:rPr>
        <w:t>22</w:t>
      </w:r>
    </w:p>
    <w:p w:rsidR="005107AE" w:rsidRPr="00F14416" w:rsidRDefault="005107AE" w:rsidP="005107AE">
      <w:pPr>
        <w:pStyle w:val="NoSpacing"/>
        <w:rPr>
          <w:b/>
          <w:sz w:val="32"/>
          <w:szCs w:val="32"/>
        </w:rPr>
      </w:pPr>
      <w:r>
        <w:rPr>
          <w:rStyle w:val="courselistcomment"/>
          <w:rFonts w:ascii="Arial" w:hAnsi="Arial" w:cs="Arial"/>
          <w:b/>
          <w:color w:val="222222"/>
          <w:bdr w:val="none" w:sz="0" w:space="0" w:color="auto" w:frame="1"/>
          <w:shd w:val="clear" w:color="auto" w:fill="FFFFFF"/>
        </w:rPr>
        <w:t>Tier 3:</w:t>
      </w:r>
      <w:r>
        <w:rPr>
          <w:rStyle w:val="courselistcomment"/>
          <w:rFonts w:ascii="Arial" w:hAnsi="Arial" w:cs="Arial"/>
          <w:color w:val="222222"/>
          <w:bdr w:val="none" w:sz="0" w:space="0" w:color="auto" w:frame="1"/>
          <w:shd w:val="clear" w:color="auto" w:fill="FFFFFF"/>
        </w:rPr>
        <w:t xml:space="preserve"> Integrative Capstone, </w:t>
      </w:r>
      <w:r>
        <w:rPr>
          <w:shd w:val="clear" w:color="auto" w:fill="FFFFFF"/>
        </w:rPr>
        <w:t xml:space="preserve">3                 Total Credits, 37 </w:t>
      </w:r>
    </w:p>
    <w:p w:rsidR="005107AE" w:rsidRDefault="00F06B1C">
      <w:r>
        <w:br w:type="page"/>
      </w:r>
    </w:p>
    <w:p w:rsidR="00F06B1C" w:rsidRDefault="00F06B1C"/>
    <w:p w:rsidR="00F06B1C" w:rsidRPr="00532CD6" w:rsidRDefault="00F06B1C" w:rsidP="00D87780">
      <w:pPr>
        <w:rPr>
          <w:b/>
          <w:sz w:val="32"/>
          <w:szCs w:val="32"/>
        </w:rPr>
      </w:pPr>
      <w:r>
        <w:rPr>
          <w:b/>
          <w:sz w:val="32"/>
          <w:szCs w:val="32"/>
        </w:rPr>
        <w:t>Outcome: Effective Communication</w:t>
      </w:r>
      <w:r w:rsidR="005107AE">
        <w:rPr>
          <w:b/>
          <w:sz w:val="32"/>
          <w:szCs w:val="32"/>
        </w:rPr>
        <w:t>—Rubric used for Assessment</w:t>
      </w:r>
    </w:p>
    <w:tbl>
      <w:tblPr>
        <w:tblStyle w:val="TableGrid"/>
        <w:tblW w:w="0" w:type="auto"/>
        <w:tblLook w:val="04A0" w:firstRow="1" w:lastRow="0" w:firstColumn="1" w:lastColumn="0" w:noHBand="0" w:noVBand="1"/>
      </w:tblPr>
      <w:tblGrid>
        <w:gridCol w:w="1915"/>
        <w:gridCol w:w="1915"/>
        <w:gridCol w:w="1915"/>
        <w:gridCol w:w="1915"/>
        <w:gridCol w:w="1916"/>
      </w:tblGrid>
      <w:tr w:rsidR="00F06B1C" w:rsidTr="004915A8">
        <w:tc>
          <w:tcPr>
            <w:tcW w:w="1915" w:type="dxa"/>
          </w:tcPr>
          <w:p w:rsidR="00F06B1C" w:rsidRDefault="00F06B1C" w:rsidP="004915A8">
            <w:r>
              <w:t>Criteria</w:t>
            </w:r>
          </w:p>
        </w:tc>
        <w:tc>
          <w:tcPr>
            <w:tcW w:w="1915" w:type="dxa"/>
          </w:tcPr>
          <w:p w:rsidR="00F06B1C" w:rsidRDefault="00F06B1C" w:rsidP="004915A8">
            <w:r>
              <w:t>Level—Unsatisfactory--0</w:t>
            </w:r>
          </w:p>
        </w:tc>
        <w:tc>
          <w:tcPr>
            <w:tcW w:w="1915" w:type="dxa"/>
          </w:tcPr>
          <w:p w:rsidR="00F06B1C" w:rsidRDefault="00F06B1C" w:rsidP="004915A8">
            <w:r>
              <w:t>Level—Minimal--1</w:t>
            </w:r>
          </w:p>
        </w:tc>
        <w:tc>
          <w:tcPr>
            <w:tcW w:w="1915" w:type="dxa"/>
          </w:tcPr>
          <w:p w:rsidR="00F06B1C" w:rsidRDefault="00F06B1C" w:rsidP="00313FE7">
            <w:r>
              <w:t>Level—Satisfactory--2</w:t>
            </w:r>
          </w:p>
        </w:tc>
        <w:tc>
          <w:tcPr>
            <w:tcW w:w="1916" w:type="dxa"/>
          </w:tcPr>
          <w:p w:rsidR="00F06B1C" w:rsidRDefault="00F06B1C" w:rsidP="004915A8">
            <w:r>
              <w:t>Level—Strong--3</w:t>
            </w:r>
          </w:p>
        </w:tc>
      </w:tr>
      <w:tr w:rsidR="00F06B1C" w:rsidTr="004915A8">
        <w:tc>
          <w:tcPr>
            <w:tcW w:w="1915" w:type="dxa"/>
          </w:tcPr>
          <w:p w:rsidR="00F06B1C" w:rsidRDefault="00F06B1C" w:rsidP="004915A8">
            <w:r>
              <w:t>Responds effectively to assignment</w:t>
            </w:r>
          </w:p>
        </w:tc>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6" w:type="dxa"/>
          </w:tcPr>
          <w:p w:rsidR="00F06B1C" w:rsidRDefault="00F06B1C" w:rsidP="004915A8"/>
        </w:tc>
      </w:tr>
      <w:tr w:rsidR="00F06B1C" w:rsidTr="004915A8">
        <w:tc>
          <w:tcPr>
            <w:tcW w:w="1915" w:type="dxa"/>
          </w:tcPr>
          <w:p w:rsidR="00F06B1C" w:rsidRDefault="00F06B1C" w:rsidP="004915A8">
            <w:r>
              <w:t>Grammatical Coherence</w:t>
            </w:r>
          </w:p>
        </w:tc>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6" w:type="dxa"/>
          </w:tcPr>
          <w:p w:rsidR="00F06B1C" w:rsidRDefault="00F06B1C" w:rsidP="004915A8"/>
        </w:tc>
      </w:tr>
      <w:tr w:rsidR="00F06B1C" w:rsidTr="004915A8">
        <w:tc>
          <w:tcPr>
            <w:tcW w:w="1915" w:type="dxa"/>
          </w:tcPr>
          <w:p w:rsidR="00F06B1C" w:rsidRDefault="00F06B1C" w:rsidP="004915A8">
            <w:r>
              <w:t>Logic/Effective Organization</w:t>
            </w:r>
          </w:p>
        </w:tc>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6" w:type="dxa"/>
          </w:tcPr>
          <w:p w:rsidR="00F06B1C" w:rsidRDefault="00F06B1C" w:rsidP="004915A8"/>
        </w:tc>
      </w:tr>
      <w:tr w:rsidR="00F06B1C" w:rsidTr="004915A8">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6" w:type="dxa"/>
          </w:tcPr>
          <w:p w:rsidR="00F06B1C" w:rsidRDefault="00F06B1C" w:rsidP="004915A8"/>
        </w:tc>
      </w:tr>
    </w:tbl>
    <w:p w:rsidR="00F06B1C" w:rsidRDefault="00F06B1C" w:rsidP="00D87780"/>
    <w:p w:rsidR="00F06B1C" w:rsidRPr="00532CD6" w:rsidRDefault="00F06B1C" w:rsidP="00D87780">
      <w:pPr>
        <w:rPr>
          <w:b/>
          <w:sz w:val="32"/>
          <w:szCs w:val="32"/>
        </w:rPr>
      </w:pPr>
      <w:r>
        <w:tab/>
      </w:r>
      <w:r>
        <w:tab/>
      </w:r>
      <w:r>
        <w:tab/>
      </w:r>
      <w:r>
        <w:tab/>
      </w:r>
      <w:r>
        <w:tab/>
      </w:r>
      <w:r>
        <w:tab/>
      </w:r>
      <w:r>
        <w:tab/>
      </w:r>
      <w:r>
        <w:tab/>
      </w:r>
      <w:r>
        <w:rPr>
          <w:b/>
        </w:rPr>
        <w:t>Effective Comm. Sub-total_______</w:t>
      </w:r>
      <w:r>
        <w:br/>
      </w:r>
      <w:r>
        <w:rPr>
          <w:b/>
          <w:sz w:val="32"/>
          <w:szCs w:val="32"/>
        </w:rPr>
        <w:t>Outcome: Critical Thinking</w:t>
      </w:r>
      <w:r w:rsidR="005107AE">
        <w:rPr>
          <w:b/>
          <w:sz w:val="32"/>
          <w:szCs w:val="32"/>
        </w:rPr>
        <w:t>--</w:t>
      </w:r>
      <w:r w:rsidR="005107AE" w:rsidRPr="005107AE">
        <w:rPr>
          <w:b/>
          <w:sz w:val="32"/>
          <w:szCs w:val="32"/>
        </w:rPr>
        <w:t xml:space="preserve"> </w:t>
      </w:r>
      <w:r w:rsidR="005107AE">
        <w:rPr>
          <w:b/>
          <w:sz w:val="32"/>
          <w:szCs w:val="32"/>
        </w:rPr>
        <w:t>Rubric used for Assessment</w:t>
      </w:r>
    </w:p>
    <w:tbl>
      <w:tblPr>
        <w:tblStyle w:val="TableGrid"/>
        <w:tblW w:w="0" w:type="auto"/>
        <w:tblLook w:val="04A0" w:firstRow="1" w:lastRow="0" w:firstColumn="1" w:lastColumn="0" w:noHBand="0" w:noVBand="1"/>
      </w:tblPr>
      <w:tblGrid>
        <w:gridCol w:w="1915"/>
        <w:gridCol w:w="1915"/>
        <w:gridCol w:w="1915"/>
        <w:gridCol w:w="1915"/>
        <w:gridCol w:w="1916"/>
      </w:tblGrid>
      <w:tr w:rsidR="00F06B1C" w:rsidTr="004915A8">
        <w:trPr>
          <w:trHeight w:val="540"/>
        </w:trPr>
        <w:tc>
          <w:tcPr>
            <w:tcW w:w="1915" w:type="dxa"/>
          </w:tcPr>
          <w:p w:rsidR="00F06B1C" w:rsidRDefault="00F06B1C" w:rsidP="004915A8">
            <w:r>
              <w:t>Criteria</w:t>
            </w:r>
          </w:p>
        </w:tc>
        <w:tc>
          <w:tcPr>
            <w:tcW w:w="1915" w:type="dxa"/>
          </w:tcPr>
          <w:p w:rsidR="00F06B1C" w:rsidRDefault="00F06B1C" w:rsidP="004915A8">
            <w:r>
              <w:t>Level—Unsatisfactory--0</w:t>
            </w:r>
          </w:p>
        </w:tc>
        <w:tc>
          <w:tcPr>
            <w:tcW w:w="1915" w:type="dxa"/>
          </w:tcPr>
          <w:p w:rsidR="00F06B1C" w:rsidRDefault="00F06B1C" w:rsidP="004915A8">
            <w:r>
              <w:t>Level—Minimal--1</w:t>
            </w:r>
          </w:p>
        </w:tc>
        <w:tc>
          <w:tcPr>
            <w:tcW w:w="1915" w:type="dxa"/>
          </w:tcPr>
          <w:p w:rsidR="00F06B1C" w:rsidRDefault="00F06B1C" w:rsidP="004915A8">
            <w:r>
              <w:t>Level—Satisfactory--2</w:t>
            </w:r>
          </w:p>
        </w:tc>
        <w:tc>
          <w:tcPr>
            <w:tcW w:w="1916" w:type="dxa"/>
          </w:tcPr>
          <w:p w:rsidR="00F06B1C" w:rsidRDefault="00F06B1C" w:rsidP="004915A8">
            <w:r>
              <w:t>Level—Strong--3</w:t>
            </w:r>
          </w:p>
        </w:tc>
      </w:tr>
      <w:tr w:rsidR="00F06B1C" w:rsidTr="004915A8">
        <w:trPr>
          <w:trHeight w:val="540"/>
        </w:trPr>
        <w:tc>
          <w:tcPr>
            <w:tcW w:w="1915" w:type="dxa"/>
          </w:tcPr>
          <w:p w:rsidR="00F06B1C" w:rsidRDefault="00F06B1C" w:rsidP="004915A8">
            <w:r>
              <w:t>Thesis/Identify Problem</w:t>
            </w:r>
          </w:p>
        </w:tc>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6" w:type="dxa"/>
          </w:tcPr>
          <w:p w:rsidR="00F06B1C" w:rsidRDefault="00F06B1C" w:rsidP="004915A8"/>
        </w:tc>
      </w:tr>
      <w:tr w:rsidR="00F06B1C" w:rsidTr="004915A8">
        <w:trPr>
          <w:trHeight w:val="540"/>
        </w:trPr>
        <w:tc>
          <w:tcPr>
            <w:tcW w:w="1915" w:type="dxa"/>
          </w:tcPr>
          <w:p w:rsidR="00F06B1C" w:rsidRDefault="00F06B1C" w:rsidP="004915A8">
            <w:r>
              <w:t>Sustained argument</w:t>
            </w:r>
          </w:p>
        </w:tc>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6" w:type="dxa"/>
          </w:tcPr>
          <w:p w:rsidR="00F06B1C" w:rsidRDefault="00F06B1C" w:rsidP="004915A8"/>
        </w:tc>
      </w:tr>
      <w:tr w:rsidR="00F06B1C" w:rsidTr="004915A8">
        <w:trPr>
          <w:trHeight w:val="540"/>
        </w:trPr>
        <w:tc>
          <w:tcPr>
            <w:tcW w:w="1915" w:type="dxa"/>
          </w:tcPr>
          <w:p w:rsidR="00F06B1C" w:rsidRDefault="00F06B1C" w:rsidP="004915A8">
            <w:r>
              <w:t>Significance</w:t>
            </w:r>
          </w:p>
        </w:tc>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6" w:type="dxa"/>
          </w:tcPr>
          <w:p w:rsidR="00F06B1C" w:rsidRDefault="00F06B1C" w:rsidP="004915A8"/>
        </w:tc>
      </w:tr>
    </w:tbl>
    <w:p w:rsidR="00F06B1C" w:rsidRDefault="00F06B1C" w:rsidP="00D87780"/>
    <w:p w:rsidR="00F06B1C" w:rsidRDefault="00F06B1C" w:rsidP="00D87780">
      <w:r>
        <w:tab/>
      </w:r>
      <w:r>
        <w:tab/>
      </w:r>
      <w:r>
        <w:tab/>
      </w:r>
      <w:r>
        <w:tab/>
      </w:r>
      <w:r>
        <w:tab/>
      </w:r>
      <w:r>
        <w:tab/>
      </w:r>
      <w:r>
        <w:tab/>
      </w:r>
      <w:r>
        <w:rPr>
          <w:b/>
        </w:rPr>
        <w:t>Critical Thinking Sub-total_______</w:t>
      </w:r>
    </w:p>
    <w:p w:rsidR="00F06B1C" w:rsidRPr="00532CD6" w:rsidRDefault="00F06B1C" w:rsidP="00D87780">
      <w:pPr>
        <w:rPr>
          <w:b/>
          <w:sz w:val="32"/>
          <w:szCs w:val="32"/>
        </w:rPr>
      </w:pPr>
      <w:r>
        <w:rPr>
          <w:b/>
          <w:sz w:val="32"/>
          <w:szCs w:val="32"/>
        </w:rPr>
        <w:t>Outcome: Information Literacy</w:t>
      </w:r>
      <w:r w:rsidR="005107AE">
        <w:rPr>
          <w:b/>
          <w:sz w:val="32"/>
          <w:szCs w:val="32"/>
        </w:rPr>
        <w:t>--</w:t>
      </w:r>
      <w:r w:rsidR="005107AE" w:rsidRPr="005107AE">
        <w:rPr>
          <w:b/>
          <w:sz w:val="32"/>
          <w:szCs w:val="32"/>
        </w:rPr>
        <w:t xml:space="preserve"> </w:t>
      </w:r>
      <w:r w:rsidR="005107AE">
        <w:rPr>
          <w:b/>
          <w:sz w:val="32"/>
          <w:szCs w:val="32"/>
        </w:rPr>
        <w:t>Rubric used for Assessment</w:t>
      </w:r>
    </w:p>
    <w:tbl>
      <w:tblPr>
        <w:tblStyle w:val="TableGrid"/>
        <w:tblW w:w="0" w:type="auto"/>
        <w:tblLook w:val="04A0" w:firstRow="1" w:lastRow="0" w:firstColumn="1" w:lastColumn="0" w:noHBand="0" w:noVBand="1"/>
      </w:tblPr>
      <w:tblGrid>
        <w:gridCol w:w="1915"/>
        <w:gridCol w:w="1915"/>
        <w:gridCol w:w="1915"/>
        <w:gridCol w:w="1915"/>
        <w:gridCol w:w="1916"/>
      </w:tblGrid>
      <w:tr w:rsidR="00F06B1C" w:rsidTr="004915A8">
        <w:trPr>
          <w:trHeight w:val="540"/>
        </w:trPr>
        <w:tc>
          <w:tcPr>
            <w:tcW w:w="1915" w:type="dxa"/>
          </w:tcPr>
          <w:p w:rsidR="00F06B1C" w:rsidRDefault="00F06B1C" w:rsidP="004915A8">
            <w:r>
              <w:t>Criteria</w:t>
            </w:r>
          </w:p>
        </w:tc>
        <w:tc>
          <w:tcPr>
            <w:tcW w:w="1915" w:type="dxa"/>
          </w:tcPr>
          <w:p w:rsidR="00F06B1C" w:rsidRDefault="00F06B1C" w:rsidP="004915A8">
            <w:r>
              <w:t>Level—Unsatisfactory--0</w:t>
            </w:r>
          </w:p>
        </w:tc>
        <w:tc>
          <w:tcPr>
            <w:tcW w:w="1915" w:type="dxa"/>
          </w:tcPr>
          <w:p w:rsidR="00F06B1C" w:rsidRDefault="00F06B1C" w:rsidP="004915A8">
            <w:r>
              <w:t>Level—Minimal--1</w:t>
            </w:r>
          </w:p>
        </w:tc>
        <w:tc>
          <w:tcPr>
            <w:tcW w:w="1915" w:type="dxa"/>
          </w:tcPr>
          <w:p w:rsidR="00F06B1C" w:rsidRDefault="00F06B1C" w:rsidP="004915A8">
            <w:r>
              <w:t>Level—Satisfactory--2</w:t>
            </w:r>
          </w:p>
        </w:tc>
        <w:tc>
          <w:tcPr>
            <w:tcW w:w="1916" w:type="dxa"/>
          </w:tcPr>
          <w:p w:rsidR="00F06B1C" w:rsidRDefault="00F06B1C" w:rsidP="004915A8">
            <w:r>
              <w:t>Level—Strong--3</w:t>
            </w:r>
          </w:p>
        </w:tc>
      </w:tr>
      <w:tr w:rsidR="00F06B1C" w:rsidTr="004915A8">
        <w:trPr>
          <w:trHeight w:val="540"/>
        </w:trPr>
        <w:tc>
          <w:tcPr>
            <w:tcW w:w="1915" w:type="dxa"/>
          </w:tcPr>
          <w:p w:rsidR="00F06B1C" w:rsidRDefault="00F06B1C" w:rsidP="004915A8">
            <w:r>
              <w:t>Demonstrates relevant use of supporting evidence</w:t>
            </w:r>
          </w:p>
        </w:tc>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6" w:type="dxa"/>
          </w:tcPr>
          <w:p w:rsidR="00F06B1C" w:rsidRDefault="00F06B1C" w:rsidP="004915A8"/>
        </w:tc>
      </w:tr>
      <w:tr w:rsidR="00F06B1C" w:rsidTr="004915A8">
        <w:trPr>
          <w:trHeight w:val="540"/>
        </w:trPr>
        <w:tc>
          <w:tcPr>
            <w:tcW w:w="1915" w:type="dxa"/>
          </w:tcPr>
          <w:p w:rsidR="00F06B1C" w:rsidRDefault="00F06B1C" w:rsidP="004915A8">
            <w:r>
              <w:t>Follows appropriate citation conventions</w:t>
            </w:r>
          </w:p>
        </w:tc>
        <w:tc>
          <w:tcPr>
            <w:tcW w:w="1915" w:type="dxa"/>
          </w:tcPr>
          <w:p w:rsidR="00F06B1C" w:rsidRDefault="00F06B1C" w:rsidP="004915A8"/>
        </w:tc>
        <w:tc>
          <w:tcPr>
            <w:tcW w:w="1915" w:type="dxa"/>
          </w:tcPr>
          <w:p w:rsidR="00F06B1C" w:rsidRDefault="00F06B1C" w:rsidP="004915A8"/>
        </w:tc>
        <w:tc>
          <w:tcPr>
            <w:tcW w:w="1915" w:type="dxa"/>
          </w:tcPr>
          <w:p w:rsidR="00F06B1C" w:rsidRDefault="00F06B1C" w:rsidP="004915A8"/>
        </w:tc>
        <w:tc>
          <w:tcPr>
            <w:tcW w:w="1916" w:type="dxa"/>
          </w:tcPr>
          <w:p w:rsidR="00F06B1C" w:rsidRDefault="00F06B1C" w:rsidP="004915A8"/>
        </w:tc>
      </w:tr>
    </w:tbl>
    <w:p w:rsidR="00F06B1C" w:rsidRDefault="00F06B1C"/>
    <w:p w:rsidR="00F06B1C" w:rsidRDefault="00F06B1C" w:rsidP="00313FE7">
      <w:r>
        <w:tab/>
      </w:r>
      <w:r>
        <w:tab/>
      </w:r>
      <w:r>
        <w:tab/>
      </w:r>
      <w:r>
        <w:tab/>
      </w:r>
      <w:r>
        <w:tab/>
      </w:r>
      <w:r>
        <w:tab/>
      </w:r>
      <w:r>
        <w:tab/>
      </w:r>
      <w:r>
        <w:rPr>
          <w:b/>
        </w:rPr>
        <w:t>Information Literacy sub-total______</w:t>
      </w:r>
      <w:r>
        <w:t xml:space="preserve">  </w:t>
      </w:r>
    </w:p>
    <w:p w:rsidR="00F06B1C" w:rsidRDefault="00F06B1C" w:rsidP="00F06B1C">
      <w:pPr>
        <w:rPr>
          <w:b/>
          <w:sz w:val="32"/>
          <w:szCs w:val="32"/>
        </w:rPr>
      </w:pPr>
      <w:r w:rsidRPr="00313FE7">
        <w:rPr>
          <w:b/>
          <w:sz w:val="32"/>
          <w:szCs w:val="32"/>
        </w:rPr>
        <w:t>Total Score=</w:t>
      </w:r>
      <w:r>
        <w:rPr>
          <w:b/>
          <w:sz w:val="32"/>
          <w:szCs w:val="32"/>
        </w:rPr>
        <w:t>_______</w:t>
      </w:r>
    </w:p>
    <w:p w:rsidR="00F06B1C" w:rsidRPr="00532CD6" w:rsidRDefault="00F06B1C" w:rsidP="00D87780">
      <w:pPr>
        <w:rPr>
          <w:b/>
          <w:sz w:val="32"/>
          <w:szCs w:val="32"/>
        </w:rPr>
      </w:pPr>
      <w:r>
        <w:rPr>
          <w:b/>
          <w:sz w:val="32"/>
          <w:szCs w:val="32"/>
        </w:rPr>
        <w:lastRenderedPageBreak/>
        <w:t>Outcome: Effective Communication</w:t>
      </w:r>
      <w:r w:rsidR="008700D7">
        <w:rPr>
          <w:b/>
          <w:sz w:val="32"/>
          <w:szCs w:val="32"/>
        </w:rPr>
        <w:t>—Revised post assessment</w:t>
      </w:r>
    </w:p>
    <w:tbl>
      <w:tblPr>
        <w:tblStyle w:val="TableGrid"/>
        <w:tblW w:w="0" w:type="auto"/>
        <w:tblLook w:val="04A0" w:firstRow="1" w:lastRow="0" w:firstColumn="1" w:lastColumn="0" w:noHBand="0" w:noVBand="1"/>
      </w:tblPr>
      <w:tblGrid>
        <w:gridCol w:w="1726"/>
        <w:gridCol w:w="1801"/>
        <w:gridCol w:w="1575"/>
        <w:gridCol w:w="1696"/>
        <w:gridCol w:w="1242"/>
        <w:gridCol w:w="1536"/>
      </w:tblGrid>
      <w:tr w:rsidR="00F06B1C" w:rsidTr="00AD6239">
        <w:tc>
          <w:tcPr>
            <w:tcW w:w="1726" w:type="dxa"/>
          </w:tcPr>
          <w:p w:rsidR="00F06B1C" w:rsidRDefault="00F06B1C" w:rsidP="004915A8">
            <w:r>
              <w:t>Criteria</w:t>
            </w:r>
          </w:p>
        </w:tc>
        <w:tc>
          <w:tcPr>
            <w:tcW w:w="1801" w:type="dxa"/>
          </w:tcPr>
          <w:p w:rsidR="00F06B1C" w:rsidRDefault="00F06B1C" w:rsidP="004915A8">
            <w:r>
              <w:t>Level—Unsatisfactory--0</w:t>
            </w:r>
          </w:p>
        </w:tc>
        <w:tc>
          <w:tcPr>
            <w:tcW w:w="1575" w:type="dxa"/>
          </w:tcPr>
          <w:p w:rsidR="00F06B1C" w:rsidRDefault="00F06B1C" w:rsidP="004915A8">
            <w:r>
              <w:t>Level—Minimal--1</w:t>
            </w:r>
          </w:p>
        </w:tc>
        <w:tc>
          <w:tcPr>
            <w:tcW w:w="1696" w:type="dxa"/>
          </w:tcPr>
          <w:p w:rsidR="00F06B1C" w:rsidRDefault="00F06B1C" w:rsidP="00313FE7">
            <w:r>
              <w:t>Level—Satisfactory--2</w:t>
            </w:r>
          </w:p>
        </w:tc>
        <w:tc>
          <w:tcPr>
            <w:tcW w:w="1242" w:type="dxa"/>
          </w:tcPr>
          <w:p w:rsidR="00F06B1C" w:rsidRDefault="00F06B1C" w:rsidP="00B92F24">
            <w:r>
              <w:t>Level—Good--3</w:t>
            </w:r>
          </w:p>
        </w:tc>
        <w:tc>
          <w:tcPr>
            <w:tcW w:w="1536" w:type="dxa"/>
          </w:tcPr>
          <w:p w:rsidR="00F06B1C" w:rsidRDefault="00F06B1C" w:rsidP="00AD6239">
            <w:r>
              <w:t>Level—Excellent--4</w:t>
            </w:r>
          </w:p>
        </w:tc>
      </w:tr>
      <w:tr w:rsidR="00F06B1C" w:rsidTr="00AD6239">
        <w:tc>
          <w:tcPr>
            <w:tcW w:w="1726" w:type="dxa"/>
          </w:tcPr>
          <w:p w:rsidR="00F06B1C" w:rsidRDefault="00F06B1C" w:rsidP="004915A8">
            <w:r>
              <w:t>Responds effectively to assignment</w:t>
            </w:r>
          </w:p>
        </w:tc>
        <w:tc>
          <w:tcPr>
            <w:tcW w:w="1801" w:type="dxa"/>
          </w:tcPr>
          <w:p w:rsidR="00F06B1C" w:rsidRDefault="00F06B1C" w:rsidP="004915A8"/>
        </w:tc>
        <w:tc>
          <w:tcPr>
            <w:tcW w:w="1575" w:type="dxa"/>
          </w:tcPr>
          <w:p w:rsidR="00F06B1C" w:rsidRDefault="00F06B1C" w:rsidP="004915A8"/>
        </w:tc>
        <w:tc>
          <w:tcPr>
            <w:tcW w:w="1696" w:type="dxa"/>
          </w:tcPr>
          <w:p w:rsidR="00F06B1C" w:rsidRDefault="00F06B1C" w:rsidP="004915A8"/>
        </w:tc>
        <w:tc>
          <w:tcPr>
            <w:tcW w:w="1242" w:type="dxa"/>
          </w:tcPr>
          <w:p w:rsidR="00F06B1C" w:rsidRDefault="00F06B1C" w:rsidP="004915A8"/>
        </w:tc>
        <w:tc>
          <w:tcPr>
            <w:tcW w:w="1536" w:type="dxa"/>
          </w:tcPr>
          <w:p w:rsidR="00F06B1C" w:rsidRDefault="00F06B1C" w:rsidP="004915A8"/>
        </w:tc>
      </w:tr>
      <w:tr w:rsidR="00F06B1C" w:rsidTr="00AD6239">
        <w:tc>
          <w:tcPr>
            <w:tcW w:w="1726" w:type="dxa"/>
          </w:tcPr>
          <w:p w:rsidR="00F06B1C" w:rsidRDefault="00F06B1C" w:rsidP="004915A8">
            <w:r>
              <w:t>Grammatical Coherence</w:t>
            </w:r>
          </w:p>
        </w:tc>
        <w:tc>
          <w:tcPr>
            <w:tcW w:w="1801" w:type="dxa"/>
          </w:tcPr>
          <w:p w:rsidR="00F06B1C" w:rsidRDefault="00F06B1C" w:rsidP="004915A8"/>
        </w:tc>
        <w:tc>
          <w:tcPr>
            <w:tcW w:w="1575" w:type="dxa"/>
          </w:tcPr>
          <w:p w:rsidR="00F06B1C" w:rsidRDefault="00F06B1C" w:rsidP="004915A8"/>
        </w:tc>
        <w:tc>
          <w:tcPr>
            <w:tcW w:w="1696" w:type="dxa"/>
          </w:tcPr>
          <w:p w:rsidR="00F06B1C" w:rsidRDefault="00F06B1C" w:rsidP="004915A8"/>
        </w:tc>
        <w:tc>
          <w:tcPr>
            <w:tcW w:w="1242" w:type="dxa"/>
          </w:tcPr>
          <w:p w:rsidR="00F06B1C" w:rsidRDefault="00F06B1C" w:rsidP="004915A8"/>
        </w:tc>
        <w:tc>
          <w:tcPr>
            <w:tcW w:w="1536" w:type="dxa"/>
          </w:tcPr>
          <w:p w:rsidR="00F06B1C" w:rsidRDefault="00F06B1C" w:rsidP="004915A8"/>
        </w:tc>
      </w:tr>
      <w:tr w:rsidR="00F06B1C" w:rsidTr="00AD6239">
        <w:tc>
          <w:tcPr>
            <w:tcW w:w="1726" w:type="dxa"/>
          </w:tcPr>
          <w:p w:rsidR="00F06B1C" w:rsidRDefault="00F06B1C" w:rsidP="004915A8">
            <w:r>
              <w:t>Effective Organization</w:t>
            </w:r>
          </w:p>
        </w:tc>
        <w:tc>
          <w:tcPr>
            <w:tcW w:w="1801" w:type="dxa"/>
          </w:tcPr>
          <w:p w:rsidR="00F06B1C" w:rsidRDefault="00F06B1C" w:rsidP="004915A8"/>
        </w:tc>
        <w:tc>
          <w:tcPr>
            <w:tcW w:w="1575" w:type="dxa"/>
          </w:tcPr>
          <w:p w:rsidR="00F06B1C" w:rsidRDefault="00F06B1C" w:rsidP="004915A8"/>
        </w:tc>
        <w:tc>
          <w:tcPr>
            <w:tcW w:w="1696" w:type="dxa"/>
          </w:tcPr>
          <w:p w:rsidR="00F06B1C" w:rsidRDefault="00F06B1C" w:rsidP="004915A8"/>
        </w:tc>
        <w:tc>
          <w:tcPr>
            <w:tcW w:w="1242" w:type="dxa"/>
          </w:tcPr>
          <w:p w:rsidR="00F06B1C" w:rsidRDefault="00F06B1C" w:rsidP="004915A8"/>
        </w:tc>
        <w:tc>
          <w:tcPr>
            <w:tcW w:w="1536" w:type="dxa"/>
          </w:tcPr>
          <w:p w:rsidR="00F06B1C" w:rsidRDefault="00F06B1C" w:rsidP="004915A8"/>
        </w:tc>
      </w:tr>
    </w:tbl>
    <w:p w:rsidR="00F06B1C" w:rsidRDefault="00F06B1C" w:rsidP="00D87780"/>
    <w:p w:rsidR="00F06B1C" w:rsidRPr="00532CD6" w:rsidRDefault="00F06B1C" w:rsidP="00D87780">
      <w:pPr>
        <w:rPr>
          <w:b/>
          <w:sz w:val="32"/>
          <w:szCs w:val="32"/>
        </w:rPr>
      </w:pPr>
      <w:r>
        <w:tab/>
      </w:r>
      <w:r>
        <w:tab/>
      </w:r>
      <w:r>
        <w:tab/>
      </w:r>
      <w:r>
        <w:tab/>
      </w:r>
      <w:r>
        <w:tab/>
      </w:r>
      <w:r>
        <w:tab/>
      </w:r>
      <w:r>
        <w:tab/>
      </w:r>
      <w:r>
        <w:tab/>
      </w:r>
      <w:r>
        <w:rPr>
          <w:b/>
        </w:rPr>
        <w:t>Effective Comm. Sub-total_______</w:t>
      </w:r>
      <w:r>
        <w:br/>
      </w:r>
      <w:r>
        <w:rPr>
          <w:b/>
          <w:sz w:val="32"/>
          <w:szCs w:val="32"/>
        </w:rPr>
        <w:t>Outcome: Critical Thinking</w:t>
      </w:r>
      <w:r w:rsidR="0058701F">
        <w:rPr>
          <w:b/>
          <w:sz w:val="32"/>
          <w:szCs w:val="32"/>
        </w:rPr>
        <w:t>--</w:t>
      </w:r>
      <w:r w:rsidR="0058701F" w:rsidRPr="0058701F">
        <w:rPr>
          <w:b/>
          <w:sz w:val="32"/>
          <w:szCs w:val="32"/>
        </w:rPr>
        <w:t xml:space="preserve"> </w:t>
      </w:r>
      <w:r w:rsidR="0058701F">
        <w:rPr>
          <w:b/>
          <w:sz w:val="32"/>
          <w:szCs w:val="32"/>
        </w:rPr>
        <w:t>Revised post assessment</w:t>
      </w:r>
    </w:p>
    <w:tbl>
      <w:tblPr>
        <w:tblStyle w:val="TableGrid"/>
        <w:tblW w:w="0" w:type="auto"/>
        <w:tblLook w:val="04A0" w:firstRow="1" w:lastRow="0" w:firstColumn="1" w:lastColumn="0" w:noHBand="0" w:noVBand="1"/>
      </w:tblPr>
      <w:tblGrid>
        <w:gridCol w:w="1811"/>
        <w:gridCol w:w="1796"/>
        <w:gridCol w:w="1558"/>
        <w:gridCol w:w="1685"/>
        <w:gridCol w:w="1209"/>
        <w:gridCol w:w="1517"/>
      </w:tblGrid>
      <w:tr w:rsidR="00F06B1C" w:rsidTr="00AD6239">
        <w:trPr>
          <w:trHeight w:val="540"/>
        </w:trPr>
        <w:tc>
          <w:tcPr>
            <w:tcW w:w="1811" w:type="dxa"/>
          </w:tcPr>
          <w:p w:rsidR="00F06B1C" w:rsidRDefault="00F06B1C" w:rsidP="004915A8">
            <w:r>
              <w:t>Criteria</w:t>
            </w:r>
          </w:p>
        </w:tc>
        <w:tc>
          <w:tcPr>
            <w:tcW w:w="1796" w:type="dxa"/>
          </w:tcPr>
          <w:p w:rsidR="00F06B1C" w:rsidRDefault="00F06B1C" w:rsidP="004915A8">
            <w:r>
              <w:t>Level—Unsatisfactory--0</w:t>
            </w:r>
          </w:p>
        </w:tc>
        <w:tc>
          <w:tcPr>
            <w:tcW w:w="1558" w:type="dxa"/>
          </w:tcPr>
          <w:p w:rsidR="00F06B1C" w:rsidRDefault="00F06B1C" w:rsidP="004915A8">
            <w:r>
              <w:t>Level—Minimal--1</w:t>
            </w:r>
          </w:p>
        </w:tc>
        <w:tc>
          <w:tcPr>
            <w:tcW w:w="1685" w:type="dxa"/>
          </w:tcPr>
          <w:p w:rsidR="00F06B1C" w:rsidRDefault="00F06B1C" w:rsidP="004915A8">
            <w:r>
              <w:t>Level—Satisfactory--2</w:t>
            </w:r>
          </w:p>
        </w:tc>
        <w:tc>
          <w:tcPr>
            <w:tcW w:w="1209" w:type="dxa"/>
          </w:tcPr>
          <w:p w:rsidR="00F06B1C" w:rsidRDefault="00F06B1C" w:rsidP="004915A8">
            <w:r>
              <w:t>Level—Good--3</w:t>
            </w:r>
          </w:p>
        </w:tc>
        <w:tc>
          <w:tcPr>
            <w:tcW w:w="1517" w:type="dxa"/>
          </w:tcPr>
          <w:p w:rsidR="00F06B1C" w:rsidRDefault="00F06B1C" w:rsidP="00AD6239">
            <w:r>
              <w:t>Level—Excellent--4</w:t>
            </w:r>
          </w:p>
        </w:tc>
      </w:tr>
      <w:tr w:rsidR="00F06B1C" w:rsidTr="00AD6239">
        <w:trPr>
          <w:trHeight w:val="540"/>
        </w:trPr>
        <w:tc>
          <w:tcPr>
            <w:tcW w:w="1811" w:type="dxa"/>
          </w:tcPr>
          <w:p w:rsidR="00F06B1C" w:rsidRDefault="00F06B1C" w:rsidP="004915A8">
            <w:r>
              <w:t>Thesis/Identify Problem</w:t>
            </w:r>
          </w:p>
        </w:tc>
        <w:tc>
          <w:tcPr>
            <w:tcW w:w="1796" w:type="dxa"/>
          </w:tcPr>
          <w:p w:rsidR="00F06B1C" w:rsidRDefault="00F06B1C" w:rsidP="004915A8"/>
        </w:tc>
        <w:tc>
          <w:tcPr>
            <w:tcW w:w="1558" w:type="dxa"/>
          </w:tcPr>
          <w:p w:rsidR="00F06B1C" w:rsidRDefault="00F06B1C" w:rsidP="004915A8"/>
        </w:tc>
        <w:tc>
          <w:tcPr>
            <w:tcW w:w="1685" w:type="dxa"/>
          </w:tcPr>
          <w:p w:rsidR="00F06B1C" w:rsidRDefault="00F06B1C" w:rsidP="004915A8"/>
        </w:tc>
        <w:tc>
          <w:tcPr>
            <w:tcW w:w="1209" w:type="dxa"/>
          </w:tcPr>
          <w:p w:rsidR="00F06B1C" w:rsidRDefault="00F06B1C" w:rsidP="004915A8"/>
        </w:tc>
        <w:tc>
          <w:tcPr>
            <w:tcW w:w="1517" w:type="dxa"/>
          </w:tcPr>
          <w:p w:rsidR="00F06B1C" w:rsidRDefault="00F06B1C" w:rsidP="004915A8"/>
        </w:tc>
      </w:tr>
      <w:tr w:rsidR="00F06B1C" w:rsidTr="00AD6239">
        <w:trPr>
          <w:trHeight w:val="540"/>
        </w:trPr>
        <w:tc>
          <w:tcPr>
            <w:tcW w:w="1811" w:type="dxa"/>
          </w:tcPr>
          <w:p w:rsidR="00F06B1C" w:rsidRDefault="00F06B1C" w:rsidP="004915A8">
            <w:r>
              <w:t>Effective argument</w:t>
            </w:r>
          </w:p>
        </w:tc>
        <w:tc>
          <w:tcPr>
            <w:tcW w:w="1796" w:type="dxa"/>
          </w:tcPr>
          <w:p w:rsidR="00F06B1C" w:rsidRDefault="00F06B1C" w:rsidP="004915A8"/>
        </w:tc>
        <w:tc>
          <w:tcPr>
            <w:tcW w:w="1558" w:type="dxa"/>
          </w:tcPr>
          <w:p w:rsidR="00F06B1C" w:rsidRDefault="00F06B1C" w:rsidP="004915A8"/>
        </w:tc>
        <w:tc>
          <w:tcPr>
            <w:tcW w:w="1685" w:type="dxa"/>
          </w:tcPr>
          <w:p w:rsidR="00F06B1C" w:rsidRDefault="00F06B1C" w:rsidP="004915A8"/>
        </w:tc>
        <w:tc>
          <w:tcPr>
            <w:tcW w:w="1209" w:type="dxa"/>
          </w:tcPr>
          <w:p w:rsidR="00F06B1C" w:rsidRDefault="00F06B1C" w:rsidP="004915A8"/>
        </w:tc>
        <w:tc>
          <w:tcPr>
            <w:tcW w:w="1517" w:type="dxa"/>
          </w:tcPr>
          <w:p w:rsidR="00F06B1C" w:rsidRDefault="00F06B1C" w:rsidP="004915A8"/>
        </w:tc>
      </w:tr>
      <w:tr w:rsidR="00F06B1C" w:rsidTr="00AD6239">
        <w:trPr>
          <w:trHeight w:val="540"/>
        </w:trPr>
        <w:tc>
          <w:tcPr>
            <w:tcW w:w="1811" w:type="dxa"/>
          </w:tcPr>
          <w:p w:rsidR="00F06B1C" w:rsidRDefault="00F06B1C" w:rsidP="004915A8">
            <w:r>
              <w:t>Awareness of Significance</w:t>
            </w:r>
          </w:p>
        </w:tc>
        <w:tc>
          <w:tcPr>
            <w:tcW w:w="1796" w:type="dxa"/>
          </w:tcPr>
          <w:p w:rsidR="00F06B1C" w:rsidRDefault="00F06B1C" w:rsidP="004915A8"/>
        </w:tc>
        <w:tc>
          <w:tcPr>
            <w:tcW w:w="1558" w:type="dxa"/>
          </w:tcPr>
          <w:p w:rsidR="00F06B1C" w:rsidRDefault="00F06B1C" w:rsidP="004915A8"/>
        </w:tc>
        <w:tc>
          <w:tcPr>
            <w:tcW w:w="1685" w:type="dxa"/>
          </w:tcPr>
          <w:p w:rsidR="00F06B1C" w:rsidRDefault="00F06B1C" w:rsidP="004915A8"/>
        </w:tc>
        <w:tc>
          <w:tcPr>
            <w:tcW w:w="1209" w:type="dxa"/>
          </w:tcPr>
          <w:p w:rsidR="00F06B1C" w:rsidRDefault="00F06B1C" w:rsidP="004915A8"/>
        </w:tc>
        <w:tc>
          <w:tcPr>
            <w:tcW w:w="1517" w:type="dxa"/>
          </w:tcPr>
          <w:p w:rsidR="00F06B1C" w:rsidRDefault="00F06B1C" w:rsidP="004915A8"/>
        </w:tc>
      </w:tr>
    </w:tbl>
    <w:p w:rsidR="00F06B1C" w:rsidRDefault="00F06B1C" w:rsidP="00D87780"/>
    <w:p w:rsidR="00F06B1C" w:rsidRDefault="00F06B1C" w:rsidP="00D87780">
      <w:r>
        <w:tab/>
      </w:r>
      <w:r>
        <w:tab/>
      </w:r>
      <w:r>
        <w:tab/>
      </w:r>
      <w:r>
        <w:tab/>
      </w:r>
      <w:r>
        <w:tab/>
      </w:r>
      <w:r>
        <w:tab/>
      </w:r>
      <w:r>
        <w:tab/>
      </w:r>
      <w:r>
        <w:rPr>
          <w:b/>
        </w:rPr>
        <w:t>Critical Thinking Sub-total_______</w:t>
      </w:r>
    </w:p>
    <w:p w:rsidR="00F06B1C" w:rsidRPr="00532CD6" w:rsidRDefault="00F06B1C" w:rsidP="00D87780">
      <w:pPr>
        <w:rPr>
          <w:b/>
          <w:sz w:val="32"/>
          <w:szCs w:val="32"/>
        </w:rPr>
      </w:pPr>
      <w:r>
        <w:rPr>
          <w:b/>
          <w:sz w:val="32"/>
          <w:szCs w:val="32"/>
        </w:rPr>
        <w:t>Outcome: Information Literacy</w:t>
      </w:r>
      <w:r w:rsidR="0058701F">
        <w:rPr>
          <w:b/>
          <w:sz w:val="32"/>
          <w:szCs w:val="32"/>
        </w:rPr>
        <w:t>--</w:t>
      </w:r>
      <w:r w:rsidR="0058701F" w:rsidRPr="0058701F">
        <w:rPr>
          <w:b/>
          <w:sz w:val="32"/>
          <w:szCs w:val="32"/>
        </w:rPr>
        <w:t xml:space="preserve"> </w:t>
      </w:r>
      <w:r w:rsidR="0058701F">
        <w:rPr>
          <w:b/>
          <w:sz w:val="32"/>
          <w:szCs w:val="32"/>
        </w:rPr>
        <w:t>Revised post assessment</w:t>
      </w:r>
    </w:p>
    <w:tbl>
      <w:tblPr>
        <w:tblStyle w:val="TableGrid"/>
        <w:tblW w:w="0" w:type="auto"/>
        <w:tblLook w:val="04A0" w:firstRow="1" w:lastRow="0" w:firstColumn="1" w:lastColumn="0" w:noHBand="0" w:noVBand="1"/>
      </w:tblPr>
      <w:tblGrid>
        <w:gridCol w:w="1829"/>
        <w:gridCol w:w="1794"/>
        <w:gridCol w:w="1555"/>
        <w:gridCol w:w="1683"/>
        <w:gridCol w:w="1202"/>
        <w:gridCol w:w="1513"/>
      </w:tblGrid>
      <w:tr w:rsidR="00F06B1C" w:rsidTr="00AD6239">
        <w:trPr>
          <w:trHeight w:val="540"/>
        </w:trPr>
        <w:tc>
          <w:tcPr>
            <w:tcW w:w="1829" w:type="dxa"/>
          </w:tcPr>
          <w:p w:rsidR="00F06B1C" w:rsidRDefault="00F06B1C" w:rsidP="004915A8">
            <w:r>
              <w:t>Criteria</w:t>
            </w:r>
          </w:p>
        </w:tc>
        <w:tc>
          <w:tcPr>
            <w:tcW w:w="1794" w:type="dxa"/>
          </w:tcPr>
          <w:p w:rsidR="00F06B1C" w:rsidRDefault="00F06B1C" w:rsidP="004915A8">
            <w:r>
              <w:t>Level—Unsatisfactory--0</w:t>
            </w:r>
          </w:p>
        </w:tc>
        <w:tc>
          <w:tcPr>
            <w:tcW w:w="1555" w:type="dxa"/>
          </w:tcPr>
          <w:p w:rsidR="00F06B1C" w:rsidRDefault="00F06B1C" w:rsidP="004915A8">
            <w:r>
              <w:t>Level—Minimal--1</w:t>
            </w:r>
          </w:p>
        </w:tc>
        <w:tc>
          <w:tcPr>
            <w:tcW w:w="1683" w:type="dxa"/>
          </w:tcPr>
          <w:p w:rsidR="00F06B1C" w:rsidRDefault="00F06B1C" w:rsidP="004915A8">
            <w:r>
              <w:t>Level—Satisfactory--2</w:t>
            </w:r>
          </w:p>
        </w:tc>
        <w:tc>
          <w:tcPr>
            <w:tcW w:w="1202" w:type="dxa"/>
          </w:tcPr>
          <w:p w:rsidR="00F06B1C" w:rsidRDefault="00F06B1C" w:rsidP="004915A8">
            <w:r>
              <w:t>Level—Good--3</w:t>
            </w:r>
          </w:p>
        </w:tc>
        <w:tc>
          <w:tcPr>
            <w:tcW w:w="1513" w:type="dxa"/>
          </w:tcPr>
          <w:p w:rsidR="00F06B1C" w:rsidRDefault="00F06B1C" w:rsidP="004915A8">
            <w:r>
              <w:t>Level—Excellent--4</w:t>
            </w:r>
          </w:p>
        </w:tc>
      </w:tr>
      <w:tr w:rsidR="00F06B1C" w:rsidTr="00AD6239">
        <w:trPr>
          <w:trHeight w:val="540"/>
        </w:trPr>
        <w:tc>
          <w:tcPr>
            <w:tcW w:w="1829" w:type="dxa"/>
          </w:tcPr>
          <w:p w:rsidR="00F06B1C" w:rsidRDefault="00F06B1C" w:rsidP="004915A8">
            <w:r>
              <w:t>Demonstrates relevant use of supporting evidence</w:t>
            </w:r>
          </w:p>
        </w:tc>
        <w:tc>
          <w:tcPr>
            <w:tcW w:w="1794" w:type="dxa"/>
          </w:tcPr>
          <w:p w:rsidR="00F06B1C" w:rsidRDefault="00F06B1C" w:rsidP="004915A8"/>
        </w:tc>
        <w:tc>
          <w:tcPr>
            <w:tcW w:w="1555" w:type="dxa"/>
          </w:tcPr>
          <w:p w:rsidR="00F06B1C" w:rsidRDefault="00F06B1C" w:rsidP="004915A8"/>
        </w:tc>
        <w:tc>
          <w:tcPr>
            <w:tcW w:w="1683" w:type="dxa"/>
          </w:tcPr>
          <w:p w:rsidR="00F06B1C" w:rsidRDefault="00F06B1C" w:rsidP="004915A8"/>
        </w:tc>
        <w:tc>
          <w:tcPr>
            <w:tcW w:w="1202" w:type="dxa"/>
          </w:tcPr>
          <w:p w:rsidR="00F06B1C" w:rsidRDefault="00F06B1C" w:rsidP="004915A8"/>
        </w:tc>
        <w:tc>
          <w:tcPr>
            <w:tcW w:w="1513" w:type="dxa"/>
          </w:tcPr>
          <w:p w:rsidR="00F06B1C" w:rsidRDefault="00F06B1C" w:rsidP="004915A8"/>
        </w:tc>
      </w:tr>
      <w:tr w:rsidR="00F06B1C" w:rsidTr="00AD6239">
        <w:trPr>
          <w:trHeight w:val="540"/>
        </w:trPr>
        <w:tc>
          <w:tcPr>
            <w:tcW w:w="1829" w:type="dxa"/>
          </w:tcPr>
          <w:p w:rsidR="00F06B1C" w:rsidRDefault="00F06B1C" w:rsidP="004915A8">
            <w:r>
              <w:t>Factual Comprehension</w:t>
            </w:r>
          </w:p>
        </w:tc>
        <w:tc>
          <w:tcPr>
            <w:tcW w:w="1794" w:type="dxa"/>
          </w:tcPr>
          <w:p w:rsidR="00F06B1C" w:rsidRDefault="00F06B1C" w:rsidP="004915A8"/>
        </w:tc>
        <w:tc>
          <w:tcPr>
            <w:tcW w:w="1555" w:type="dxa"/>
          </w:tcPr>
          <w:p w:rsidR="00F06B1C" w:rsidRDefault="00F06B1C" w:rsidP="004915A8"/>
        </w:tc>
        <w:tc>
          <w:tcPr>
            <w:tcW w:w="1683" w:type="dxa"/>
          </w:tcPr>
          <w:p w:rsidR="00F06B1C" w:rsidRDefault="00F06B1C" w:rsidP="004915A8"/>
        </w:tc>
        <w:tc>
          <w:tcPr>
            <w:tcW w:w="1202" w:type="dxa"/>
          </w:tcPr>
          <w:p w:rsidR="00F06B1C" w:rsidRDefault="00F06B1C" w:rsidP="004915A8"/>
        </w:tc>
        <w:tc>
          <w:tcPr>
            <w:tcW w:w="1513" w:type="dxa"/>
          </w:tcPr>
          <w:p w:rsidR="00F06B1C" w:rsidRDefault="00F06B1C" w:rsidP="004915A8"/>
        </w:tc>
      </w:tr>
      <w:tr w:rsidR="00F06B1C" w:rsidTr="00AD6239">
        <w:trPr>
          <w:trHeight w:val="540"/>
        </w:trPr>
        <w:tc>
          <w:tcPr>
            <w:tcW w:w="1829" w:type="dxa"/>
          </w:tcPr>
          <w:p w:rsidR="00F06B1C" w:rsidRDefault="00F06B1C" w:rsidP="004915A8">
            <w:r>
              <w:t>Follows appropriate citation conventions</w:t>
            </w:r>
          </w:p>
        </w:tc>
        <w:tc>
          <w:tcPr>
            <w:tcW w:w="1794" w:type="dxa"/>
          </w:tcPr>
          <w:p w:rsidR="00F06B1C" w:rsidRDefault="00F06B1C" w:rsidP="004915A8"/>
        </w:tc>
        <w:tc>
          <w:tcPr>
            <w:tcW w:w="1555" w:type="dxa"/>
          </w:tcPr>
          <w:p w:rsidR="00F06B1C" w:rsidRDefault="00F06B1C" w:rsidP="004915A8"/>
        </w:tc>
        <w:tc>
          <w:tcPr>
            <w:tcW w:w="1683" w:type="dxa"/>
          </w:tcPr>
          <w:p w:rsidR="00F06B1C" w:rsidRDefault="00F06B1C" w:rsidP="004915A8"/>
        </w:tc>
        <w:tc>
          <w:tcPr>
            <w:tcW w:w="1202" w:type="dxa"/>
          </w:tcPr>
          <w:p w:rsidR="00F06B1C" w:rsidRDefault="00F06B1C" w:rsidP="004915A8"/>
        </w:tc>
        <w:tc>
          <w:tcPr>
            <w:tcW w:w="1513" w:type="dxa"/>
          </w:tcPr>
          <w:p w:rsidR="00F06B1C" w:rsidRDefault="00F06B1C" w:rsidP="004915A8"/>
        </w:tc>
      </w:tr>
    </w:tbl>
    <w:p w:rsidR="00F06B1C" w:rsidRDefault="00F06B1C"/>
    <w:p w:rsidR="00F06B1C" w:rsidRDefault="00F06B1C" w:rsidP="00313FE7">
      <w:r>
        <w:tab/>
      </w:r>
      <w:r>
        <w:tab/>
      </w:r>
      <w:r>
        <w:tab/>
      </w:r>
      <w:r>
        <w:tab/>
      </w:r>
      <w:r>
        <w:tab/>
      </w:r>
      <w:r>
        <w:tab/>
      </w:r>
      <w:r>
        <w:tab/>
      </w:r>
      <w:r>
        <w:rPr>
          <w:b/>
        </w:rPr>
        <w:t>Information Literacy sub-total______</w:t>
      </w:r>
      <w:r>
        <w:t xml:space="preserve">  </w:t>
      </w:r>
    </w:p>
    <w:p w:rsidR="00F06B1C" w:rsidRPr="00F14416" w:rsidRDefault="00F06B1C" w:rsidP="005107AE">
      <w:pPr>
        <w:rPr>
          <w:b/>
          <w:sz w:val="32"/>
          <w:szCs w:val="32"/>
        </w:rPr>
      </w:pPr>
      <w:r w:rsidRPr="00313FE7">
        <w:rPr>
          <w:b/>
          <w:sz w:val="32"/>
          <w:szCs w:val="32"/>
        </w:rPr>
        <w:t>Total Score=</w:t>
      </w:r>
      <w:r>
        <w:rPr>
          <w:b/>
          <w:sz w:val="32"/>
          <w:szCs w:val="32"/>
        </w:rPr>
        <w:t>_______</w:t>
      </w:r>
      <w:r w:rsidR="00F14416">
        <w:rPr>
          <w:shd w:val="clear" w:color="auto" w:fill="FFFFFF"/>
        </w:rPr>
        <w:t xml:space="preserve"> </w:t>
      </w:r>
    </w:p>
    <w:sectPr w:rsidR="00F06B1C" w:rsidRPr="00F14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21" w:rsidRDefault="00451621" w:rsidP="002D63A7">
      <w:pPr>
        <w:spacing w:after="0" w:line="240" w:lineRule="auto"/>
      </w:pPr>
      <w:r>
        <w:separator/>
      </w:r>
    </w:p>
  </w:endnote>
  <w:endnote w:type="continuationSeparator" w:id="0">
    <w:p w:rsidR="00451621" w:rsidRDefault="00451621" w:rsidP="002D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21" w:rsidRDefault="00451621" w:rsidP="002D63A7">
      <w:pPr>
        <w:spacing w:after="0" w:line="240" w:lineRule="auto"/>
      </w:pPr>
      <w:r>
        <w:separator/>
      </w:r>
    </w:p>
  </w:footnote>
  <w:footnote w:type="continuationSeparator" w:id="0">
    <w:p w:rsidR="00451621" w:rsidRDefault="00451621" w:rsidP="002D6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569"/>
    <w:multiLevelType w:val="hybridMultilevel"/>
    <w:tmpl w:val="5D5AB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3933"/>
    <w:multiLevelType w:val="hybridMultilevel"/>
    <w:tmpl w:val="47CEF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3449A5"/>
    <w:multiLevelType w:val="hybridMultilevel"/>
    <w:tmpl w:val="F2B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92D83"/>
    <w:multiLevelType w:val="multilevel"/>
    <w:tmpl w:val="75886C8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347BE4"/>
    <w:multiLevelType w:val="hybridMultilevel"/>
    <w:tmpl w:val="710098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9202B"/>
    <w:multiLevelType w:val="hybridMultilevel"/>
    <w:tmpl w:val="97FC31BE"/>
    <w:lvl w:ilvl="0" w:tplc="79EA9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E1C9A"/>
    <w:multiLevelType w:val="multilevel"/>
    <w:tmpl w:val="F078AB9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8265976"/>
    <w:multiLevelType w:val="hybridMultilevel"/>
    <w:tmpl w:val="D2523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F07E8"/>
    <w:multiLevelType w:val="hybridMultilevel"/>
    <w:tmpl w:val="0720B1BA"/>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E11197"/>
    <w:multiLevelType w:val="hybridMultilevel"/>
    <w:tmpl w:val="FF7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41D2B"/>
    <w:multiLevelType w:val="hybridMultilevel"/>
    <w:tmpl w:val="5D5AB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004F1"/>
    <w:multiLevelType w:val="hybridMultilevel"/>
    <w:tmpl w:val="5D5AB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4"/>
  </w:num>
  <w:num w:numId="6">
    <w:abstractNumId w:val="11"/>
  </w:num>
  <w:num w:numId="7">
    <w:abstractNumId w:val="1"/>
  </w:num>
  <w:num w:numId="8">
    <w:abstractNumId w:val="0"/>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2E"/>
    <w:rsid w:val="00014735"/>
    <w:rsid w:val="000927FD"/>
    <w:rsid w:val="001177FC"/>
    <w:rsid w:val="00121D9A"/>
    <w:rsid w:val="00143CCF"/>
    <w:rsid w:val="00163B73"/>
    <w:rsid w:val="00225612"/>
    <w:rsid w:val="00250022"/>
    <w:rsid w:val="002556DB"/>
    <w:rsid w:val="00261A4F"/>
    <w:rsid w:val="00275447"/>
    <w:rsid w:val="00293896"/>
    <w:rsid w:val="002A3DCE"/>
    <w:rsid w:val="002D63A7"/>
    <w:rsid w:val="002E44ED"/>
    <w:rsid w:val="002F4D0B"/>
    <w:rsid w:val="00337F35"/>
    <w:rsid w:val="00356A71"/>
    <w:rsid w:val="0037692E"/>
    <w:rsid w:val="003A3D0C"/>
    <w:rsid w:val="003B3DD1"/>
    <w:rsid w:val="003C6A42"/>
    <w:rsid w:val="003F53B6"/>
    <w:rsid w:val="00451621"/>
    <w:rsid w:val="00466026"/>
    <w:rsid w:val="00470F9E"/>
    <w:rsid w:val="004A110E"/>
    <w:rsid w:val="004D2B0C"/>
    <w:rsid w:val="005107AE"/>
    <w:rsid w:val="00553C81"/>
    <w:rsid w:val="005562FC"/>
    <w:rsid w:val="0058701F"/>
    <w:rsid w:val="005E2398"/>
    <w:rsid w:val="005F0BA3"/>
    <w:rsid w:val="00605BA4"/>
    <w:rsid w:val="00605EDD"/>
    <w:rsid w:val="00666793"/>
    <w:rsid w:val="006842C2"/>
    <w:rsid w:val="006964FC"/>
    <w:rsid w:val="006F2FFE"/>
    <w:rsid w:val="00722340"/>
    <w:rsid w:val="00785F4C"/>
    <w:rsid w:val="00793B0E"/>
    <w:rsid w:val="007B5814"/>
    <w:rsid w:val="007B6785"/>
    <w:rsid w:val="007F12BE"/>
    <w:rsid w:val="008700D7"/>
    <w:rsid w:val="008E3BFF"/>
    <w:rsid w:val="00944053"/>
    <w:rsid w:val="0094554B"/>
    <w:rsid w:val="00973967"/>
    <w:rsid w:val="00976F40"/>
    <w:rsid w:val="009903DA"/>
    <w:rsid w:val="00991508"/>
    <w:rsid w:val="009A2CD5"/>
    <w:rsid w:val="009B3BAF"/>
    <w:rsid w:val="009B7793"/>
    <w:rsid w:val="009D7C5E"/>
    <w:rsid w:val="00A12DD1"/>
    <w:rsid w:val="00A508DB"/>
    <w:rsid w:val="00A54CBE"/>
    <w:rsid w:val="00A55BA4"/>
    <w:rsid w:val="00A67CAA"/>
    <w:rsid w:val="00AA54E2"/>
    <w:rsid w:val="00B62289"/>
    <w:rsid w:val="00B676BB"/>
    <w:rsid w:val="00BA4853"/>
    <w:rsid w:val="00C50390"/>
    <w:rsid w:val="00D02658"/>
    <w:rsid w:val="00D26794"/>
    <w:rsid w:val="00D77B4F"/>
    <w:rsid w:val="00D91ECB"/>
    <w:rsid w:val="00D93DA6"/>
    <w:rsid w:val="00E65E17"/>
    <w:rsid w:val="00EB3AE2"/>
    <w:rsid w:val="00F06B1C"/>
    <w:rsid w:val="00F14416"/>
    <w:rsid w:val="00F72041"/>
    <w:rsid w:val="00FB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58"/>
    <w:pPr>
      <w:ind w:left="720"/>
      <w:contextualSpacing/>
    </w:pPr>
  </w:style>
  <w:style w:type="character" w:styleId="BookTitle">
    <w:name w:val="Book Title"/>
    <w:basedOn w:val="DefaultParagraphFont"/>
    <w:uiPriority w:val="33"/>
    <w:qFormat/>
    <w:rsid w:val="00F72041"/>
    <w:rPr>
      <w:b/>
      <w:bCs/>
      <w:i/>
      <w:iCs/>
      <w:spacing w:val="5"/>
    </w:rPr>
  </w:style>
  <w:style w:type="paragraph" w:styleId="BalloonText">
    <w:name w:val="Balloon Text"/>
    <w:basedOn w:val="Normal"/>
    <w:link w:val="BalloonTextChar"/>
    <w:uiPriority w:val="99"/>
    <w:semiHidden/>
    <w:unhideWhenUsed/>
    <w:rsid w:val="00F7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41"/>
    <w:rPr>
      <w:rFonts w:ascii="Segoe UI" w:hAnsi="Segoe UI" w:cs="Segoe UI"/>
      <w:sz w:val="18"/>
      <w:szCs w:val="18"/>
    </w:rPr>
  </w:style>
  <w:style w:type="paragraph" w:styleId="Header">
    <w:name w:val="header"/>
    <w:basedOn w:val="Normal"/>
    <w:link w:val="HeaderChar"/>
    <w:uiPriority w:val="99"/>
    <w:unhideWhenUsed/>
    <w:rsid w:val="002D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A7"/>
  </w:style>
  <w:style w:type="paragraph" w:styleId="Footer">
    <w:name w:val="footer"/>
    <w:basedOn w:val="Normal"/>
    <w:link w:val="FooterChar"/>
    <w:uiPriority w:val="99"/>
    <w:unhideWhenUsed/>
    <w:rsid w:val="002D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A7"/>
  </w:style>
  <w:style w:type="character" w:styleId="CommentReference">
    <w:name w:val="annotation reference"/>
    <w:basedOn w:val="DefaultParagraphFont"/>
    <w:uiPriority w:val="99"/>
    <w:semiHidden/>
    <w:unhideWhenUsed/>
    <w:rsid w:val="00A67CAA"/>
    <w:rPr>
      <w:sz w:val="16"/>
      <w:szCs w:val="16"/>
    </w:rPr>
  </w:style>
  <w:style w:type="paragraph" w:styleId="CommentText">
    <w:name w:val="annotation text"/>
    <w:basedOn w:val="Normal"/>
    <w:link w:val="CommentTextChar"/>
    <w:uiPriority w:val="99"/>
    <w:semiHidden/>
    <w:unhideWhenUsed/>
    <w:rsid w:val="00A67CAA"/>
    <w:pPr>
      <w:spacing w:line="240" w:lineRule="auto"/>
    </w:pPr>
    <w:rPr>
      <w:sz w:val="20"/>
      <w:szCs w:val="20"/>
    </w:rPr>
  </w:style>
  <w:style w:type="character" w:customStyle="1" w:styleId="CommentTextChar">
    <w:name w:val="Comment Text Char"/>
    <w:basedOn w:val="DefaultParagraphFont"/>
    <w:link w:val="CommentText"/>
    <w:uiPriority w:val="99"/>
    <w:semiHidden/>
    <w:rsid w:val="00A67CAA"/>
    <w:rPr>
      <w:sz w:val="20"/>
      <w:szCs w:val="20"/>
    </w:rPr>
  </w:style>
  <w:style w:type="paragraph" w:styleId="CommentSubject">
    <w:name w:val="annotation subject"/>
    <w:basedOn w:val="CommentText"/>
    <w:next w:val="CommentText"/>
    <w:link w:val="CommentSubjectChar"/>
    <w:uiPriority w:val="99"/>
    <w:semiHidden/>
    <w:unhideWhenUsed/>
    <w:rsid w:val="00A67CAA"/>
    <w:rPr>
      <w:b/>
      <w:bCs/>
    </w:rPr>
  </w:style>
  <w:style w:type="character" w:customStyle="1" w:styleId="CommentSubjectChar">
    <w:name w:val="Comment Subject Char"/>
    <w:basedOn w:val="CommentTextChar"/>
    <w:link w:val="CommentSubject"/>
    <w:uiPriority w:val="99"/>
    <w:semiHidden/>
    <w:rsid w:val="00A67CAA"/>
    <w:rPr>
      <w:b/>
      <w:bCs/>
      <w:sz w:val="20"/>
      <w:szCs w:val="20"/>
    </w:rPr>
  </w:style>
  <w:style w:type="paragraph" w:styleId="NoSpacing">
    <w:name w:val="No Spacing"/>
    <w:uiPriority w:val="1"/>
    <w:qFormat/>
    <w:rsid w:val="00666793"/>
    <w:pPr>
      <w:spacing w:after="0" w:line="240" w:lineRule="auto"/>
    </w:pPr>
  </w:style>
  <w:style w:type="table" w:styleId="TableGrid">
    <w:name w:val="Table Grid"/>
    <w:basedOn w:val="TableNormal"/>
    <w:uiPriority w:val="59"/>
    <w:rsid w:val="0078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14416"/>
  </w:style>
  <w:style w:type="character" w:customStyle="1" w:styleId="apple-converted-space">
    <w:name w:val="apple-converted-space"/>
    <w:basedOn w:val="DefaultParagraphFont"/>
    <w:rsid w:val="00F14416"/>
  </w:style>
  <w:style w:type="paragraph" w:customStyle="1" w:styleId="Default">
    <w:name w:val="Default"/>
    <w:rsid w:val="00F144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1441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58"/>
    <w:pPr>
      <w:ind w:left="720"/>
      <w:contextualSpacing/>
    </w:pPr>
  </w:style>
  <w:style w:type="character" w:styleId="BookTitle">
    <w:name w:val="Book Title"/>
    <w:basedOn w:val="DefaultParagraphFont"/>
    <w:uiPriority w:val="33"/>
    <w:qFormat/>
    <w:rsid w:val="00F72041"/>
    <w:rPr>
      <w:b/>
      <w:bCs/>
      <w:i/>
      <w:iCs/>
      <w:spacing w:val="5"/>
    </w:rPr>
  </w:style>
  <w:style w:type="paragraph" w:styleId="BalloonText">
    <w:name w:val="Balloon Text"/>
    <w:basedOn w:val="Normal"/>
    <w:link w:val="BalloonTextChar"/>
    <w:uiPriority w:val="99"/>
    <w:semiHidden/>
    <w:unhideWhenUsed/>
    <w:rsid w:val="00F7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41"/>
    <w:rPr>
      <w:rFonts w:ascii="Segoe UI" w:hAnsi="Segoe UI" w:cs="Segoe UI"/>
      <w:sz w:val="18"/>
      <w:szCs w:val="18"/>
    </w:rPr>
  </w:style>
  <w:style w:type="paragraph" w:styleId="Header">
    <w:name w:val="header"/>
    <w:basedOn w:val="Normal"/>
    <w:link w:val="HeaderChar"/>
    <w:uiPriority w:val="99"/>
    <w:unhideWhenUsed/>
    <w:rsid w:val="002D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A7"/>
  </w:style>
  <w:style w:type="paragraph" w:styleId="Footer">
    <w:name w:val="footer"/>
    <w:basedOn w:val="Normal"/>
    <w:link w:val="FooterChar"/>
    <w:uiPriority w:val="99"/>
    <w:unhideWhenUsed/>
    <w:rsid w:val="002D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A7"/>
  </w:style>
  <w:style w:type="character" w:styleId="CommentReference">
    <w:name w:val="annotation reference"/>
    <w:basedOn w:val="DefaultParagraphFont"/>
    <w:uiPriority w:val="99"/>
    <w:semiHidden/>
    <w:unhideWhenUsed/>
    <w:rsid w:val="00A67CAA"/>
    <w:rPr>
      <w:sz w:val="16"/>
      <w:szCs w:val="16"/>
    </w:rPr>
  </w:style>
  <w:style w:type="paragraph" w:styleId="CommentText">
    <w:name w:val="annotation text"/>
    <w:basedOn w:val="Normal"/>
    <w:link w:val="CommentTextChar"/>
    <w:uiPriority w:val="99"/>
    <w:semiHidden/>
    <w:unhideWhenUsed/>
    <w:rsid w:val="00A67CAA"/>
    <w:pPr>
      <w:spacing w:line="240" w:lineRule="auto"/>
    </w:pPr>
    <w:rPr>
      <w:sz w:val="20"/>
      <w:szCs w:val="20"/>
    </w:rPr>
  </w:style>
  <w:style w:type="character" w:customStyle="1" w:styleId="CommentTextChar">
    <w:name w:val="Comment Text Char"/>
    <w:basedOn w:val="DefaultParagraphFont"/>
    <w:link w:val="CommentText"/>
    <w:uiPriority w:val="99"/>
    <w:semiHidden/>
    <w:rsid w:val="00A67CAA"/>
    <w:rPr>
      <w:sz w:val="20"/>
      <w:szCs w:val="20"/>
    </w:rPr>
  </w:style>
  <w:style w:type="paragraph" w:styleId="CommentSubject">
    <w:name w:val="annotation subject"/>
    <w:basedOn w:val="CommentText"/>
    <w:next w:val="CommentText"/>
    <w:link w:val="CommentSubjectChar"/>
    <w:uiPriority w:val="99"/>
    <w:semiHidden/>
    <w:unhideWhenUsed/>
    <w:rsid w:val="00A67CAA"/>
    <w:rPr>
      <w:b/>
      <w:bCs/>
    </w:rPr>
  </w:style>
  <w:style w:type="character" w:customStyle="1" w:styleId="CommentSubjectChar">
    <w:name w:val="Comment Subject Char"/>
    <w:basedOn w:val="CommentTextChar"/>
    <w:link w:val="CommentSubject"/>
    <w:uiPriority w:val="99"/>
    <w:semiHidden/>
    <w:rsid w:val="00A67CAA"/>
    <w:rPr>
      <w:b/>
      <w:bCs/>
      <w:sz w:val="20"/>
      <w:szCs w:val="20"/>
    </w:rPr>
  </w:style>
  <w:style w:type="paragraph" w:styleId="NoSpacing">
    <w:name w:val="No Spacing"/>
    <w:uiPriority w:val="1"/>
    <w:qFormat/>
    <w:rsid w:val="00666793"/>
    <w:pPr>
      <w:spacing w:after="0" w:line="240" w:lineRule="auto"/>
    </w:pPr>
  </w:style>
  <w:style w:type="table" w:styleId="TableGrid">
    <w:name w:val="Table Grid"/>
    <w:basedOn w:val="TableNormal"/>
    <w:uiPriority w:val="59"/>
    <w:rsid w:val="0078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14416"/>
  </w:style>
  <w:style w:type="character" w:customStyle="1" w:styleId="apple-converted-space">
    <w:name w:val="apple-converted-space"/>
    <w:basedOn w:val="DefaultParagraphFont"/>
    <w:rsid w:val="00F14416"/>
  </w:style>
  <w:style w:type="paragraph" w:customStyle="1" w:styleId="Default">
    <w:name w:val="Default"/>
    <w:rsid w:val="00F144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1441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594E-11DE-40B3-9ADE-35D5ABDE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Stroth</dc:creator>
  <cp:lastModifiedBy>William L Myers</cp:lastModifiedBy>
  <cp:revision>4</cp:revision>
  <cp:lastPrinted>2015-05-20T21:42:00Z</cp:lastPrinted>
  <dcterms:created xsi:type="dcterms:W3CDTF">2015-05-23T20:20:00Z</dcterms:created>
  <dcterms:modified xsi:type="dcterms:W3CDTF">2015-06-17T18:15:00Z</dcterms:modified>
</cp:coreProperties>
</file>