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75CC3" w14:textId="77777777" w:rsidR="00862AB0" w:rsidRDefault="00862AB0" w:rsidP="00862AB0">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bookmarkStart w:id="12" w:name="_Hlk194929663"/>
      <w:bookmarkStart w:id="13" w:name="_Hlk194929862"/>
      <w:bookmarkStart w:id="14" w:name="_Hlk194929938"/>
      <w:bookmarkStart w:id="15" w:name="_Hlk194930169"/>
    </w:p>
    <w:p w14:paraId="12AE6A60" w14:textId="77777777" w:rsidR="00862AB0" w:rsidRDefault="00862AB0" w:rsidP="00862AB0">
      <w:pPr>
        <w:jc w:val="center"/>
        <w:rPr>
          <w:b/>
          <w:sz w:val="28"/>
          <w:szCs w:val="28"/>
        </w:rPr>
      </w:pPr>
    </w:p>
    <w:p w14:paraId="4833ADEE" w14:textId="77777777" w:rsidR="00862AB0" w:rsidRDefault="00862AB0" w:rsidP="00862AB0">
      <w:pPr>
        <w:jc w:val="center"/>
        <w:rPr>
          <w:b/>
          <w:sz w:val="28"/>
          <w:szCs w:val="28"/>
        </w:rPr>
      </w:pPr>
      <w:bookmarkStart w:id="16" w:name="_Hlk194929058"/>
      <w:r w:rsidRPr="00A76E1C">
        <w:rPr>
          <w:b/>
          <w:noProof/>
        </w:rPr>
        <w:drawing>
          <wp:inline distT="0" distB="0" distL="0" distR="0" wp14:anchorId="16D75E09" wp14:editId="5F3F3704">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1A46120" w14:textId="77777777" w:rsidR="00862AB0" w:rsidRPr="00F22654" w:rsidRDefault="00862AB0" w:rsidP="00862AB0">
      <w:pPr>
        <w:spacing w:line="360" w:lineRule="auto"/>
        <w:jc w:val="center"/>
        <w:rPr>
          <w:b/>
          <w:sz w:val="60"/>
          <w:szCs w:val="60"/>
        </w:rPr>
      </w:pPr>
    </w:p>
    <w:p w14:paraId="1A2EBE0D" w14:textId="77777777" w:rsidR="00862AB0" w:rsidRPr="00F22654" w:rsidRDefault="00862AB0" w:rsidP="00862AB0">
      <w:pPr>
        <w:spacing w:line="360" w:lineRule="auto"/>
        <w:jc w:val="center"/>
        <w:rPr>
          <w:b/>
          <w:sz w:val="60"/>
          <w:szCs w:val="60"/>
        </w:rPr>
      </w:pPr>
    </w:p>
    <w:p w14:paraId="0E3DBFC2" w14:textId="77777777" w:rsidR="00862AB0" w:rsidRPr="00112760" w:rsidRDefault="00862AB0" w:rsidP="00862AB0">
      <w:pPr>
        <w:ind w:firstLine="1440"/>
        <w:rPr>
          <w:b/>
          <w:sz w:val="56"/>
          <w:szCs w:val="56"/>
        </w:rPr>
      </w:pPr>
      <w:r w:rsidRPr="00112760">
        <w:rPr>
          <w:b/>
          <w:sz w:val="56"/>
          <w:szCs w:val="56"/>
        </w:rPr>
        <w:t>Academic Assessment Plan</w:t>
      </w:r>
    </w:p>
    <w:p w14:paraId="71F23BF2" w14:textId="77777777" w:rsidR="00862AB0" w:rsidRDefault="00862AB0" w:rsidP="00862AB0">
      <w:pPr>
        <w:spacing w:line="276" w:lineRule="auto"/>
        <w:jc w:val="center"/>
        <w:rPr>
          <w:b/>
          <w:sz w:val="56"/>
          <w:szCs w:val="56"/>
        </w:rPr>
      </w:pPr>
    </w:p>
    <w:p w14:paraId="74F29987" w14:textId="77777777" w:rsidR="00862AB0" w:rsidRDefault="00862AB0" w:rsidP="00862AB0">
      <w:pPr>
        <w:spacing w:line="276" w:lineRule="auto"/>
        <w:jc w:val="center"/>
        <w:rPr>
          <w:b/>
          <w:sz w:val="56"/>
          <w:szCs w:val="56"/>
        </w:rPr>
      </w:pPr>
    </w:p>
    <w:p w14:paraId="19F8B3C6" w14:textId="77777777" w:rsidR="00862AB0" w:rsidRPr="00112760" w:rsidRDefault="00862AB0" w:rsidP="00862AB0">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14:paraId="751583C6" w14:textId="77777777" w:rsidR="00862AB0" w:rsidRPr="00112760" w:rsidRDefault="00862AB0" w:rsidP="00862AB0">
      <w:pPr>
        <w:ind w:left="1440"/>
        <w:rPr>
          <w:sz w:val="36"/>
          <w:szCs w:val="36"/>
        </w:rPr>
      </w:pPr>
    </w:p>
    <w:p w14:paraId="556D42C2" w14:textId="77777777" w:rsidR="00862AB0" w:rsidRPr="00E2322B" w:rsidRDefault="00862AB0" w:rsidP="00862AB0">
      <w:pPr>
        <w:ind w:left="3600" w:hanging="2160"/>
        <w:rPr>
          <w:bCs/>
          <w:sz w:val="36"/>
          <w:szCs w:val="36"/>
        </w:rPr>
      </w:pPr>
      <w:r w:rsidRPr="00112760">
        <w:rPr>
          <w:b/>
          <w:sz w:val="36"/>
          <w:szCs w:val="36"/>
        </w:rPr>
        <w:t xml:space="preserve">Program(s): </w:t>
      </w:r>
      <w:r w:rsidRPr="00112760">
        <w:rPr>
          <w:b/>
          <w:sz w:val="36"/>
          <w:szCs w:val="36"/>
        </w:rPr>
        <w:tab/>
      </w:r>
      <w:r>
        <w:rPr>
          <w:sz w:val="36"/>
          <w:szCs w:val="36"/>
        </w:rPr>
        <w:t xml:space="preserve">GC Language and Literacy </w:t>
      </w:r>
    </w:p>
    <w:p w14:paraId="5BA6E1D2" w14:textId="77777777" w:rsidR="00862AB0" w:rsidRPr="00112760" w:rsidRDefault="00862AB0" w:rsidP="00862AB0">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2C320ADC" w14:textId="77777777" w:rsidR="00862AB0" w:rsidRDefault="00862AB0" w:rsidP="00862AB0">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bookmarkEnd w:id="8"/>
      <w:bookmarkEnd w:id="9"/>
      <w:bookmarkEnd w:id="10"/>
      <w:bookmarkEnd w:id="11"/>
      <w:bookmarkEnd w:id="16"/>
      <w:r>
        <w:rPr>
          <w:sz w:val="36"/>
          <w:szCs w:val="36"/>
        </w:rPr>
        <w:t>Spring 202</w:t>
      </w:r>
      <w:bookmarkEnd w:id="12"/>
      <w:bookmarkEnd w:id="13"/>
      <w:bookmarkEnd w:id="14"/>
      <w:r>
        <w:rPr>
          <w:sz w:val="36"/>
          <w:szCs w:val="36"/>
        </w:rPr>
        <w:t>2</w:t>
      </w:r>
      <w:bookmarkEnd w:id="15"/>
    </w:p>
    <w:p w14:paraId="373918D7" w14:textId="075690A2" w:rsidR="007C32C6" w:rsidRPr="00D91413" w:rsidRDefault="00B10748" w:rsidP="00024A4B">
      <w:pPr>
        <w:tabs>
          <w:tab w:val="center" w:pos="4968"/>
        </w:tabs>
        <w:jc w:val="center"/>
      </w:pPr>
      <w:r>
        <w:br w:type="page"/>
      </w:r>
      <w:bookmarkStart w:id="17" w:name="ProgramGoals"/>
    </w:p>
    <w:p w14:paraId="247AB9FD" w14:textId="77777777" w:rsidR="007C32C6" w:rsidRDefault="007C32C6" w:rsidP="004C7E08">
      <w:pPr>
        <w:pStyle w:val="HeadingA"/>
        <w:jc w:val="left"/>
      </w:pPr>
    </w:p>
    <w:p w14:paraId="133DD623" w14:textId="7B99EEC9" w:rsidR="00B10748" w:rsidRDefault="00B10748" w:rsidP="002600D0">
      <w:pPr>
        <w:pStyle w:val="Heading2"/>
      </w:pPr>
      <w:bookmarkStart w:id="18" w:name="_Toc177539376"/>
      <w:r w:rsidRPr="002600D0">
        <w:t>Mission Statement</w:t>
      </w:r>
      <w:bookmarkEnd w:id="18"/>
    </w:p>
    <w:p w14:paraId="5B6A8556" w14:textId="77777777" w:rsidR="00C4592F" w:rsidRPr="00C4592F" w:rsidRDefault="00C4592F" w:rsidP="00C4592F"/>
    <w:p w14:paraId="263CE672" w14:textId="77777777" w:rsidR="00C4592F" w:rsidRPr="00C4592F" w:rsidRDefault="00C4592F" w:rsidP="00C4592F">
      <w:pPr>
        <w:rPr>
          <w:color w:val="000000" w:themeColor="text1"/>
        </w:rPr>
      </w:pPr>
      <w:r w:rsidRPr="00C4592F">
        <w:rPr>
          <w:color w:val="000000" w:themeColor="text1"/>
          <w:shd w:val="clear" w:color="auto" w:fill="FEFEFE"/>
        </w:rPr>
        <w:t xml:space="preserve">The Graduate Certificate in Language and Literacy Education is designed for individuals seeking advanced professional preparation to increase knowledge and skills in addressing the literacy and academic learning needs of elementary and secondary </w:t>
      </w:r>
      <w:r w:rsidRPr="00C4592F">
        <w:rPr>
          <w:color w:val="000000" w:themeColor="text1"/>
        </w:rPr>
        <w:t xml:space="preserve">English learners and Alaska Native students through culturally sustaining practice, grounded in multicultural epistemologies. </w:t>
      </w:r>
      <w:r w:rsidRPr="00C4592F">
        <w:rPr>
          <w:color w:val="000000" w:themeColor="text1"/>
          <w:shd w:val="clear" w:color="auto" w:fill="FEFEFE"/>
        </w:rPr>
        <w:t>Those who teach languages in public or private settings, both in the United States and abroad, may enhance their knowledge and practice by completing this standards-based program.</w:t>
      </w:r>
    </w:p>
    <w:p w14:paraId="2CB13B4E" w14:textId="77777777" w:rsidR="00C4592F" w:rsidRPr="00C4592F" w:rsidRDefault="00C4592F" w:rsidP="00C4592F"/>
    <w:p w14:paraId="53C98458" w14:textId="27DA18B8" w:rsidR="00024A4B" w:rsidRDefault="004C7E08" w:rsidP="00024A4B">
      <w:pPr>
        <w:pStyle w:val="Heading2"/>
        <w:spacing w:before="240"/>
      </w:pPr>
      <w:r>
        <w:t>Program Student Learning Outcomes</w:t>
      </w:r>
    </w:p>
    <w:p w14:paraId="74F305E2" w14:textId="77777777" w:rsidR="00024A4B" w:rsidRPr="00024A4B" w:rsidRDefault="00024A4B" w:rsidP="00024A4B"/>
    <w:p w14:paraId="5DD57FB0" w14:textId="2AFC306A" w:rsidR="00024A4B" w:rsidRPr="0031157A" w:rsidRDefault="00024A4B" w:rsidP="00024A4B">
      <w:pPr>
        <w:numPr>
          <w:ilvl w:val="0"/>
          <w:numId w:val="27"/>
        </w:numPr>
        <w:textAlignment w:val="baseline"/>
        <w:rPr>
          <w:color w:val="000000"/>
        </w:rPr>
      </w:pPr>
      <w:r w:rsidRPr="0031157A">
        <w:rPr>
          <w:color w:val="303C42"/>
        </w:rPr>
        <w:t>Demonstrate knowledge of English language structures, English language use, second language acquisition and development, and language processes to help English Language Learners (ELLs) acquire academic language and literacies specific to various content areas (TESOL 1)</w:t>
      </w:r>
      <w:r>
        <w:rPr>
          <w:color w:val="303C42"/>
        </w:rPr>
        <w:t>.</w:t>
      </w:r>
    </w:p>
    <w:p w14:paraId="62907846" w14:textId="77777777" w:rsidR="00024A4B" w:rsidRPr="0031157A" w:rsidRDefault="00024A4B" w:rsidP="00024A4B">
      <w:pPr>
        <w:ind w:left="720"/>
        <w:textAlignment w:val="baseline"/>
        <w:rPr>
          <w:color w:val="000000"/>
        </w:rPr>
      </w:pPr>
    </w:p>
    <w:p w14:paraId="2AA7E7AD" w14:textId="77777777" w:rsidR="00024A4B" w:rsidRDefault="00024A4B" w:rsidP="00024A4B">
      <w:pPr>
        <w:numPr>
          <w:ilvl w:val="0"/>
          <w:numId w:val="27"/>
        </w:numPr>
        <w:textAlignment w:val="baseline"/>
        <w:rPr>
          <w:color w:val="000000"/>
        </w:rPr>
      </w:pPr>
      <w:r w:rsidRPr="0031157A">
        <w:rPr>
          <w:color w:val="303C42"/>
        </w:rPr>
        <w:t>Demonstrate and apply knowledge of the impact of dynamic academic, personal, familial, cultural, social, and sociopolitical contexts on the education and language acquisition of ELLs as supported by research and theories. Candidates investigate the academic and personal characteristics of each ELL, as well as family circumstances and literacy practices, to develop individualized, effective instructional and assessment practices for their ELLs. Candidates recognize how educator identity, role, culture, and biases impact the interpretation of ELLs’ strengths and needs (TESOL 2).</w:t>
      </w:r>
    </w:p>
    <w:p w14:paraId="066F9345" w14:textId="77777777" w:rsidR="00024A4B" w:rsidRDefault="00024A4B" w:rsidP="00024A4B">
      <w:pPr>
        <w:pStyle w:val="ListParagraph"/>
        <w:rPr>
          <w:color w:val="303C42"/>
        </w:rPr>
      </w:pPr>
    </w:p>
    <w:p w14:paraId="01FFF58F" w14:textId="76C2D1EC" w:rsidR="00024A4B" w:rsidRPr="00024A4B" w:rsidRDefault="00024A4B" w:rsidP="00024A4B">
      <w:pPr>
        <w:numPr>
          <w:ilvl w:val="0"/>
          <w:numId w:val="27"/>
        </w:numPr>
        <w:textAlignment w:val="baseline"/>
        <w:rPr>
          <w:color w:val="000000"/>
        </w:rPr>
      </w:pPr>
      <w:r w:rsidRPr="00024A4B">
        <w:rPr>
          <w:color w:val="303C42"/>
        </w:rPr>
        <w:t>Plan supportive environments for ELLs, design and implement standards-</w:t>
      </w:r>
      <w:proofErr w:type="spellStart"/>
      <w:r w:rsidRPr="00024A4B">
        <w:rPr>
          <w:color w:val="303C42"/>
        </w:rPr>
        <w:t>base</w:t>
      </w:r>
      <w:proofErr w:type="spellEnd"/>
      <w:r>
        <w:rPr>
          <w:color w:val="000000"/>
        </w:rPr>
        <w:t xml:space="preserve"> </w:t>
      </w:r>
      <w:r w:rsidRPr="00024A4B">
        <w:rPr>
          <w:color w:val="303C42"/>
        </w:rPr>
        <w:t>instruction using evidence-based, ELL-centered, interactive approaches. Candidates make</w:t>
      </w:r>
      <w:r>
        <w:rPr>
          <w:color w:val="000000"/>
        </w:rPr>
        <w:t xml:space="preserve"> </w:t>
      </w:r>
      <w:r w:rsidRPr="00024A4B">
        <w:rPr>
          <w:color w:val="303C42"/>
        </w:rPr>
        <w:t xml:space="preserve">instructional decisions by reflecting on individual ELL outcomes and adjusting instruction. Candidates demonstrate understanding of the role of collaboration with colleagues and communication with families to support their ELLs’ acquisition of English language and literacies in the content areas. Candidates use and adapt relevant resources, including appropriate technology, to effectively plan, develop, implement, and communicate about instruction for ELLs (TESOL 3). </w:t>
      </w:r>
    </w:p>
    <w:p w14:paraId="537C20C7" w14:textId="77777777" w:rsidR="00024A4B" w:rsidRPr="0031157A" w:rsidRDefault="00024A4B" w:rsidP="00024A4B">
      <w:pPr>
        <w:ind w:left="720"/>
        <w:rPr>
          <w:color w:val="303C42"/>
        </w:rPr>
      </w:pPr>
    </w:p>
    <w:p w14:paraId="5C02441E" w14:textId="77777777" w:rsidR="00024A4B" w:rsidRPr="0031157A" w:rsidRDefault="00024A4B" w:rsidP="00024A4B">
      <w:pPr>
        <w:pStyle w:val="ListParagraph"/>
        <w:numPr>
          <w:ilvl w:val="0"/>
          <w:numId w:val="27"/>
        </w:numPr>
        <w:rPr>
          <w:rFonts w:ascii="Times New Roman" w:eastAsia="Times New Roman" w:hAnsi="Times New Roman" w:cs="Times New Roman"/>
        </w:rPr>
      </w:pPr>
      <w:r w:rsidRPr="0031157A">
        <w:rPr>
          <w:rFonts w:ascii="Times New Roman" w:eastAsia="Times New Roman" w:hAnsi="Times New Roman" w:cs="Times New Roman"/>
        </w:rPr>
        <w:t>A</w:t>
      </w:r>
      <w:r w:rsidRPr="0031157A">
        <w:rPr>
          <w:rFonts w:ascii="Times New Roman" w:eastAsia="Times New Roman" w:hAnsi="Times New Roman" w:cs="Times New Roman"/>
          <w:color w:val="303C42"/>
        </w:rPr>
        <w:t>pply assessment principles to analyze and interpret multiple and varied assessments for ELLs, including classroom-based, standardized, and language proficiency assessments. Candidates understand how to analyze and interpret data to make informed decisions that promote English language and content learning. Candidates understand the importance of communicating results to other educators, ELLs, and ELLs’ families (TESOL 4).</w:t>
      </w:r>
    </w:p>
    <w:p w14:paraId="5DFC0ADD" w14:textId="77777777" w:rsidR="00024A4B" w:rsidRPr="0031157A" w:rsidRDefault="00024A4B" w:rsidP="00024A4B">
      <w:pPr>
        <w:pStyle w:val="ListParagraph"/>
        <w:rPr>
          <w:rFonts w:ascii="Times New Roman" w:eastAsia="Times New Roman" w:hAnsi="Times New Roman" w:cs="Times New Roman"/>
        </w:rPr>
      </w:pPr>
    </w:p>
    <w:p w14:paraId="6CE8FAAD" w14:textId="597AAC92" w:rsidR="00C4592F" w:rsidRPr="002847B5" w:rsidRDefault="00024A4B" w:rsidP="002847B5">
      <w:pPr>
        <w:pStyle w:val="ListParagraph"/>
        <w:numPr>
          <w:ilvl w:val="0"/>
          <w:numId w:val="27"/>
        </w:numPr>
        <w:rPr>
          <w:rFonts w:ascii="Times New Roman" w:eastAsia="Times New Roman" w:hAnsi="Times New Roman" w:cs="Times New Roman"/>
        </w:rPr>
      </w:pPr>
      <w:r w:rsidRPr="0031157A">
        <w:rPr>
          <w:rFonts w:ascii="Times New Roman" w:eastAsia="Times New Roman" w:hAnsi="Times New Roman" w:cs="Times New Roman"/>
          <w:color w:val="303C42"/>
        </w:rPr>
        <w:t>Demonstrate professionalism and leadership by collaborating with other educators, knowing policies and legislation and the rights of ELLs, advocating for ELLs and their families, engaging in self-assessment and reflection, pursuing continuous professional development, and honing their teaching practice through supervised teaching</w:t>
      </w:r>
      <w:r>
        <w:rPr>
          <w:rFonts w:ascii="Times New Roman" w:eastAsia="Times New Roman" w:hAnsi="Times New Roman" w:cs="Times New Roman"/>
          <w:color w:val="303C42"/>
        </w:rPr>
        <w:t xml:space="preserve"> (TESOL 5).</w:t>
      </w:r>
    </w:p>
    <w:p w14:paraId="480DC0DF" w14:textId="77777777" w:rsidR="002847B5" w:rsidRPr="002847B5" w:rsidRDefault="002847B5" w:rsidP="002847B5">
      <w:pPr>
        <w:pStyle w:val="ListParagraph"/>
        <w:rPr>
          <w:rFonts w:ascii="Times New Roman" w:eastAsia="Times New Roman" w:hAnsi="Times New Roman" w:cs="Times New Roman"/>
        </w:rPr>
      </w:pPr>
    </w:p>
    <w:p w14:paraId="523B4D35" w14:textId="623D0A2D" w:rsidR="002847B5" w:rsidRDefault="002847B5" w:rsidP="002847B5"/>
    <w:p w14:paraId="5ABC4520" w14:textId="77777777" w:rsidR="002847B5" w:rsidRPr="002847B5" w:rsidRDefault="002847B5" w:rsidP="002847B5"/>
    <w:p w14:paraId="28A7DDCA" w14:textId="77777777" w:rsidR="00B10748" w:rsidRDefault="004C7E08" w:rsidP="002600D0">
      <w:pPr>
        <w:pStyle w:val="Heading2"/>
        <w:spacing w:before="240"/>
      </w:pPr>
      <w:r>
        <w:lastRenderedPageBreak/>
        <w:t>Measures</w:t>
      </w:r>
    </w:p>
    <w:bookmarkEnd w:id="17"/>
    <w:p w14:paraId="1D6EC2F5" w14:textId="30B37DFC" w:rsidR="004C7E08" w:rsidRDefault="004C7E08" w:rsidP="004C7E08">
      <w:pPr>
        <w:pStyle w:val="HeadingA"/>
      </w:pPr>
    </w:p>
    <w:p w14:paraId="4FEB67AA" w14:textId="1DF2E52E" w:rsidR="00EC0747" w:rsidRDefault="00F91B0D" w:rsidP="00EC0747">
      <w:r>
        <w:t>Table 1 below provides summary descriptions of the program outcomes and their administration.</w:t>
      </w:r>
      <w:r w:rsidR="00EC0747">
        <w:t>. Table 2 summarizes how the assessment measures align to the Program Student Learning Outcomes.</w:t>
      </w:r>
    </w:p>
    <w:p w14:paraId="14F4CE8F" w14:textId="77777777" w:rsidR="00EC0747" w:rsidRDefault="00EC0747" w:rsidP="00EC0747"/>
    <w:p w14:paraId="0EA509B6" w14:textId="77777777" w:rsidR="00EC0747" w:rsidRPr="00DA14D0" w:rsidRDefault="00EC0747" w:rsidP="00EC0747">
      <w:pPr>
        <w:tabs>
          <w:tab w:val="left" w:pos="360"/>
        </w:tabs>
        <w:rPr>
          <w:b/>
        </w:rPr>
      </w:pPr>
      <w:r w:rsidRPr="00DA14D0">
        <w:rPr>
          <w:b/>
        </w:rPr>
        <w:t>The program will demonstrate its success in three ways:</w:t>
      </w:r>
    </w:p>
    <w:p w14:paraId="6C7242B6" w14:textId="77777777" w:rsidR="00EC0747" w:rsidRPr="00DA14D0" w:rsidRDefault="00EC0747" w:rsidP="00EC0747">
      <w:pPr>
        <w:tabs>
          <w:tab w:val="left" w:pos="360"/>
        </w:tabs>
        <w:rPr>
          <w:b/>
        </w:rPr>
      </w:pPr>
    </w:p>
    <w:p w14:paraId="01D1A83F" w14:textId="77777777" w:rsidR="00F20FF3" w:rsidRDefault="00EC0747" w:rsidP="00F20FF3">
      <w:pPr>
        <w:numPr>
          <w:ilvl w:val="0"/>
          <w:numId w:val="32"/>
        </w:numPr>
        <w:tabs>
          <w:tab w:val="left" w:pos="360"/>
        </w:tabs>
      </w:pPr>
      <w:r w:rsidRPr="00DA14D0">
        <w:t>Through identified assessments contained in each c</w:t>
      </w:r>
      <w:r>
        <w:t>ore course CCG;</w:t>
      </w:r>
    </w:p>
    <w:p w14:paraId="3046AA48" w14:textId="23F4FD1A" w:rsidR="00EC0747" w:rsidRPr="00DA14D0" w:rsidRDefault="00F20FF3" w:rsidP="00F20FF3">
      <w:pPr>
        <w:numPr>
          <w:ilvl w:val="0"/>
          <w:numId w:val="32"/>
        </w:numPr>
        <w:tabs>
          <w:tab w:val="left" w:pos="360"/>
        </w:tabs>
      </w:pPr>
      <w:r>
        <w:t>Through p</w:t>
      </w:r>
      <w:r w:rsidR="00EC0747">
        <w:t>rogram-level Key Assessment</w:t>
      </w:r>
      <w:r>
        <w:t xml:space="preserve">s (vetted through validity studies), aligned with </w:t>
      </w:r>
      <w:r w:rsidRPr="00F91B0D">
        <w:rPr>
          <w:i/>
          <w:iCs/>
        </w:rPr>
        <w:t>Teachers of English to Speakers of Other Languages</w:t>
      </w:r>
      <w:r>
        <w:t xml:space="preserve"> (TESOL) Standards and</w:t>
      </w:r>
      <w:r w:rsidR="00EC0747">
        <w:t xml:space="preserve"> administered</w:t>
      </w:r>
      <w:r>
        <w:t xml:space="preserve"> (using interrater reliability studies)</w:t>
      </w:r>
      <w:r w:rsidR="00EC0747">
        <w:t xml:space="preserve"> </w:t>
      </w:r>
      <w:r>
        <w:t xml:space="preserve">throughout </w:t>
      </w:r>
      <w:r w:rsidR="00EC0747" w:rsidRPr="00DA14D0">
        <w:t>the</w:t>
      </w:r>
      <w:r>
        <w:t xml:space="preserve"> program</w:t>
      </w:r>
      <w:r w:rsidR="00EC0747">
        <w:t>;</w:t>
      </w:r>
    </w:p>
    <w:p w14:paraId="21FF4FAB" w14:textId="216F87D4" w:rsidR="00EC0747" w:rsidRDefault="00EC0747" w:rsidP="00EC0747">
      <w:pPr>
        <w:numPr>
          <w:ilvl w:val="0"/>
          <w:numId w:val="32"/>
        </w:numPr>
        <w:tabs>
          <w:tab w:val="left" w:pos="360"/>
        </w:tabs>
      </w:pPr>
      <w:r w:rsidRPr="00DA14D0">
        <w:t>Indicators of satisfaction from vari</w:t>
      </w:r>
      <w:r>
        <w:t>ous</w:t>
      </w:r>
      <w:r w:rsidRPr="00DA14D0">
        <w:t xml:space="preserve"> stakeholders, e.g., </w:t>
      </w:r>
      <w:r w:rsidR="00F20FF3">
        <w:t>employers and</w:t>
      </w:r>
      <w:r w:rsidRPr="00DA14D0">
        <w:t xml:space="preserve"> alumni.</w:t>
      </w:r>
    </w:p>
    <w:p w14:paraId="5AA01FD9" w14:textId="77777777" w:rsidR="00EC0747" w:rsidRDefault="00EC0747" w:rsidP="00EC0747"/>
    <w:p w14:paraId="4BF2A1AC" w14:textId="77777777" w:rsidR="00EC0747" w:rsidRPr="00A61EA8" w:rsidRDefault="00EC0747" w:rsidP="00EC0747">
      <w:pPr>
        <w:jc w:val="center"/>
        <w:rPr>
          <w:b/>
          <w:bCs/>
        </w:rPr>
      </w:pPr>
      <w:r w:rsidRPr="00A61EA8">
        <w:rPr>
          <w:b/>
          <w:bCs/>
        </w:rPr>
        <w:t>Table 1: Assessment Measures Description and</w:t>
      </w:r>
      <w:r>
        <w:rPr>
          <w:b/>
          <w:bCs/>
        </w:rPr>
        <w:t xml:space="preserve"> Administration</w:t>
      </w:r>
    </w:p>
    <w:p w14:paraId="36311528" w14:textId="77777777" w:rsidR="00EC0747" w:rsidRDefault="00EC0747" w:rsidP="00EC0747">
      <w:pPr>
        <w:rPr>
          <w:b/>
          <w:bCs/>
        </w:rPr>
      </w:pPr>
    </w:p>
    <w:tbl>
      <w:tblPr>
        <w:tblStyle w:val="TableGrid"/>
        <w:tblW w:w="9895" w:type="dxa"/>
        <w:tblLook w:val="04A0" w:firstRow="1" w:lastRow="0" w:firstColumn="1" w:lastColumn="0" w:noHBand="0" w:noVBand="1"/>
        <w:tblCaption w:val="Assessment Measures Description and Implementation"/>
      </w:tblPr>
      <w:tblGrid>
        <w:gridCol w:w="1522"/>
        <w:gridCol w:w="2776"/>
        <w:gridCol w:w="2770"/>
        <w:gridCol w:w="1296"/>
        <w:gridCol w:w="1531"/>
      </w:tblGrid>
      <w:tr w:rsidR="00D63E8F" w14:paraId="4F646560" w14:textId="77777777" w:rsidTr="00A6157D">
        <w:trPr>
          <w:tblHeader/>
        </w:trPr>
        <w:tc>
          <w:tcPr>
            <w:tcW w:w="1522" w:type="dxa"/>
            <w:shd w:val="clear" w:color="auto" w:fill="E7E6E6" w:themeFill="background2"/>
          </w:tcPr>
          <w:p w14:paraId="140578EC" w14:textId="77777777" w:rsidR="00EC0747" w:rsidRDefault="00EC0747" w:rsidP="006F6E10">
            <w:pPr>
              <w:jc w:val="center"/>
            </w:pPr>
            <w:r>
              <w:t>Assessment Measure</w:t>
            </w:r>
          </w:p>
        </w:tc>
        <w:tc>
          <w:tcPr>
            <w:tcW w:w="2776" w:type="dxa"/>
            <w:shd w:val="clear" w:color="auto" w:fill="E7E6E6" w:themeFill="background2"/>
          </w:tcPr>
          <w:p w14:paraId="30FCC3F6" w14:textId="77777777" w:rsidR="00EC0747" w:rsidRDefault="00EC0747" w:rsidP="006F6E10">
            <w:pPr>
              <w:jc w:val="center"/>
            </w:pPr>
            <w:r>
              <w:t>Description</w:t>
            </w:r>
          </w:p>
        </w:tc>
        <w:tc>
          <w:tcPr>
            <w:tcW w:w="2770" w:type="dxa"/>
            <w:shd w:val="clear" w:color="auto" w:fill="E7E6E6" w:themeFill="background2"/>
          </w:tcPr>
          <w:p w14:paraId="6BF6801E" w14:textId="77777777" w:rsidR="00EC0747" w:rsidRDefault="00EC0747" w:rsidP="006F6E10">
            <w:pPr>
              <w:jc w:val="center"/>
            </w:pPr>
            <w:r>
              <w:t>Frequency/</w:t>
            </w:r>
          </w:p>
          <w:p w14:paraId="6A9DF13D" w14:textId="77777777" w:rsidR="00EC0747" w:rsidRDefault="00EC0747" w:rsidP="006F6E10">
            <w:pPr>
              <w:jc w:val="center"/>
            </w:pPr>
            <w:r>
              <w:t>Start Date</w:t>
            </w:r>
          </w:p>
        </w:tc>
        <w:tc>
          <w:tcPr>
            <w:tcW w:w="1296" w:type="dxa"/>
            <w:shd w:val="clear" w:color="auto" w:fill="E7E6E6" w:themeFill="background2"/>
          </w:tcPr>
          <w:p w14:paraId="483C9231" w14:textId="77777777" w:rsidR="00EC0747" w:rsidRDefault="00EC0747" w:rsidP="006F6E10">
            <w:pPr>
              <w:jc w:val="center"/>
            </w:pPr>
            <w:r>
              <w:t>Collection Method</w:t>
            </w:r>
          </w:p>
        </w:tc>
        <w:tc>
          <w:tcPr>
            <w:tcW w:w="1531" w:type="dxa"/>
            <w:shd w:val="clear" w:color="auto" w:fill="E7E6E6" w:themeFill="background2"/>
          </w:tcPr>
          <w:p w14:paraId="56C14441" w14:textId="77777777" w:rsidR="00EC0747" w:rsidRDefault="00EC0747" w:rsidP="006F6E10">
            <w:pPr>
              <w:jc w:val="center"/>
            </w:pPr>
            <w:r>
              <w:t>Administered by</w:t>
            </w:r>
          </w:p>
        </w:tc>
      </w:tr>
      <w:tr w:rsidR="00D63E8F" w14:paraId="54ABA58A" w14:textId="77777777" w:rsidTr="00A6157D">
        <w:tc>
          <w:tcPr>
            <w:tcW w:w="1522" w:type="dxa"/>
          </w:tcPr>
          <w:p w14:paraId="59920611" w14:textId="667CCE5B" w:rsidR="00EC0747" w:rsidRDefault="00EC0747" w:rsidP="006F6E10">
            <w:pPr>
              <w:rPr>
                <w:b/>
                <w:sz w:val="20"/>
                <w:szCs w:val="20"/>
              </w:rPr>
            </w:pPr>
            <w:r w:rsidRPr="00F15832">
              <w:rPr>
                <w:b/>
                <w:sz w:val="20"/>
                <w:szCs w:val="20"/>
              </w:rPr>
              <w:t xml:space="preserve">Assessment #1: Licensure </w:t>
            </w:r>
            <w:r>
              <w:rPr>
                <w:b/>
                <w:sz w:val="20"/>
                <w:szCs w:val="20"/>
              </w:rPr>
              <w:t>A</w:t>
            </w:r>
            <w:r w:rsidRPr="00F15832">
              <w:rPr>
                <w:b/>
                <w:sz w:val="20"/>
                <w:szCs w:val="20"/>
              </w:rPr>
              <w:t xml:space="preserve">ssessment, or </w:t>
            </w:r>
            <w:r w:rsidR="00F9256E">
              <w:rPr>
                <w:b/>
                <w:sz w:val="20"/>
                <w:szCs w:val="20"/>
              </w:rPr>
              <w:t>other</w:t>
            </w:r>
            <w:r w:rsidRPr="00F15832">
              <w:rPr>
                <w:b/>
                <w:sz w:val="20"/>
                <w:szCs w:val="20"/>
              </w:rPr>
              <w:t xml:space="preserve"> </w:t>
            </w:r>
            <w:r>
              <w:rPr>
                <w:b/>
                <w:sz w:val="20"/>
                <w:szCs w:val="20"/>
              </w:rPr>
              <w:t>C</w:t>
            </w:r>
            <w:r w:rsidRPr="00F15832">
              <w:rPr>
                <w:b/>
                <w:sz w:val="20"/>
                <w:szCs w:val="20"/>
              </w:rPr>
              <w:t>ontent-based</w:t>
            </w:r>
            <w:r w:rsidR="00F9256E">
              <w:rPr>
                <w:b/>
                <w:sz w:val="20"/>
                <w:szCs w:val="20"/>
              </w:rPr>
              <w:t xml:space="preserve"> Assessment</w:t>
            </w:r>
          </w:p>
          <w:p w14:paraId="5D0572D1" w14:textId="35129C22" w:rsidR="005208E5" w:rsidRDefault="005208E5" w:rsidP="006F6E10">
            <w:pPr>
              <w:rPr>
                <w:b/>
                <w:sz w:val="20"/>
                <w:szCs w:val="20"/>
              </w:rPr>
            </w:pPr>
          </w:p>
          <w:p w14:paraId="51FF8D1F" w14:textId="02DCB373" w:rsidR="00EC0747" w:rsidRPr="001252E7" w:rsidRDefault="005208E5" w:rsidP="006F6E10">
            <w:pPr>
              <w:rPr>
                <w:bCs/>
                <w:sz w:val="20"/>
                <w:szCs w:val="20"/>
              </w:rPr>
            </w:pPr>
            <w:r w:rsidRPr="005208E5">
              <w:rPr>
                <w:bCs/>
                <w:sz w:val="20"/>
                <w:szCs w:val="20"/>
              </w:rPr>
              <w:t>Annotated Bibliography</w:t>
            </w:r>
          </w:p>
        </w:tc>
        <w:tc>
          <w:tcPr>
            <w:tcW w:w="2776" w:type="dxa"/>
          </w:tcPr>
          <w:p w14:paraId="673C5C04" w14:textId="3C3D8B49" w:rsidR="00EC0747" w:rsidRPr="005208E5" w:rsidRDefault="005208E5" w:rsidP="005208E5">
            <w:pPr>
              <w:rPr>
                <w:iCs/>
                <w:sz w:val="20"/>
                <w:szCs w:val="20"/>
              </w:rPr>
            </w:pPr>
            <w:r w:rsidRPr="005208E5">
              <w:rPr>
                <w:iCs/>
                <w:sz w:val="20"/>
                <w:szCs w:val="20"/>
              </w:rPr>
              <w:t>Candidates locate and analyze original research articles on an approved topic.</w:t>
            </w:r>
          </w:p>
        </w:tc>
        <w:tc>
          <w:tcPr>
            <w:tcW w:w="2770" w:type="dxa"/>
          </w:tcPr>
          <w:p w14:paraId="11A2E152" w14:textId="73530A18" w:rsidR="00EC0747" w:rsidRPr="00701D03" w:rsidRDefault="005208E5" w:rsidP="006F6E10">
            <w:pPr>
              <w:rPr>
                <w:sz w:val="20"/>
                <w:szCs w:val="20"/>
              </w:rPr>
            </w:pPr>
            <w:r>
              <w:rPr>
                <w:sz w:val="20"/>
                <w:szCs w:val="20"/>
              </w:rPr>
              <w:t>EDRL 671: Language, Reading, Culture</w:t>
            </w:r>
            <w:r w:rsidR="00AC3D11">
              <w:rPr>
                <w:sz w:val="20"/>
                <w:szCs w:val="20"/>
              </w:rPr>
              <w:t xml:space="preserve"> (first course of the program)</w:t>
            </w:r>
          </w:p>
        </w:tc>
        <w:tc>
          <w:tcPr>
            <w:tcW w:w="1296" w:type="dxa"/>
          </w:tcPr>
          <w:p w14:paraId="30AAAE6D" w14:textId="183D40B7" w:rsidR="00EC0747" w:rsidRPr="00701D03" w:rsidRDefault="00D63E8F" w:rsidP="006F6E10">
            <w:pPr>
              <w:rPr>
                <w:sz w:val="20"/>
                <w:szCs w:val="20"/>
              </w:rPr>
            </w:pPr>
            <w:r>
              <w:rPr>
                <w:sz w:val="20"/>
                <w:szCs w:val="20"/>
              </w:rPr>
              <w:t xml:space="preserve">Watermark </w:t>
            </w:r>
            <w:r w:rsidR="00EC0747">
              <w:rPr>
                <w:sz w:val="20"/>
                <w:szCs w:val="20"/>
              </w:rPr>
              <w:t>Assessment Management System</w:t>
            </w:r>
          </w:p>
        </w:tc>
        <w:tc>
          <w:tcPr>
            <w:tcW w:w="1531" w:type="dxa"/>
          </w:tcPr>
          <w:p w14:paraId="1EF268D0" w14:textId="77777777" w:rsidR="00EC0747" w:rsidRPr="00701D03" w:rsidRDefault="00EC0747" w:rsidP="006F6E10">
            <w:pPr>
              <w:rPr>
                <w:sz w:val="20"/>
                <w:szCs w:val="20"/>
              </w:rPr>
            </w:pPr>
            <w:r>
              <w:rPr>
                <w:sz w:val="20"/>
                <w:szCs w:val="20"/>
              </w:rPr>
              <w:t>Program Faculty</w:t>
            </w:r>
          </w:p>
        </w:tc>
      </w:tr>
      <w:tr w:rsidR="00D63E8F" w14:paraId="30404CAA" w14:textId="77777777" w:rsidTr="00A6157D">
        <w:tc>
          <w:tcPr>
            <w:tcW w:w="1522" w:type="dxa"/>
          </w:tcPr>
          <w:p w14:paraId="524CDF5E" w14:textId="08056E67" w:rsidR="00F9256E" w:rsidRDefault="00EC0747" w:rsidP="006F6E10">
            <w:pPr>
              <w:rPr>
                <w:b/>
                <w:sz w:val="20"/>
                <w:szCs w:val="20"/>
              </w:rPr>
            </w:pPr>
            <w:r w:rsidRPr="00701D03">
              <w:rPr>
                <w:b/>
                <w:sz w:val="20"/>
                <w:szCs w:val="20"/>
              </w:rPr>
              <w:t>Assessment #2</w:t>
            </w:r>
            <w:r>
              <w:rPr>
                <w:b/>
                <w:sz w:val="20"/>
                <w:szCs w:val="20"/>
              </w:rPr>
              <w:t>:</w:t>
            </w:r>
            <w:r w:rsidRPr="00701D03">
              <w:rPr>
                <w:b/>
                <w:sz w:val="20"/>
                <w:szCs w:val="20"/>
              </w:rPr>
              <w:t xml:space="preserve"> Assessment of </w:t>
            </w:r>
            <w:r>
              <w:rPr>
                <w:b/>
                <w:sz w:val="20"/>
                <w:szCs w:val="20"/>
              </w:rPr>
              <w:t>C</w:t>
            </w:r>
            <w:r w:rsidRPr="00701D03">
              <w:rPr>
                <w:b/>
                <w:sz w:val="20"/>
                <w:szCs w:val="20"/>
              </w:rPr>
              <w:t xml:space="preserve">ontent </w:t>
            </w:r>
            <w:r w:rsidR="00F9256E">
              <w:rPr>
                <w:b/>
                <w:sz w:val="20"/>
                <w:szCs w:val="20"/>
              </w:rPr>
              <w:t>Knowledge in English as a Second Language</w:t>
            </w:r>
          </w:p>
          <w:p w14:paraId="24AF2176" w14:textId="77777777" w:rsidR="001252E7" w:rsidRDefault="001252E7" w:rsidP="00F9256E">
            <w:pPr>
              <w:rPr>
                <w:bCs/>
                <w:sz w:val="20"/>
                <w:szCs w:val="20"/>
              </w:rPr>
            </w:pPr>
          </w:p>
          <w:p w14:paraId="40CF2654" w14:textId="1E9DBED8" w:rsidR="00F9256E" w:rsidRPr="00F9256E" w:rsidRDefault="00F9256E" w:rsidP="00F9256E">
            <w:pPr>
              <w:rPr>
                <w:bCs/>
                <w:sz w:val="20"/>
                <w:szCs w:val="20"/>
              </w:rPr>
            </w:pPr>
            <w:r w:rsidRPr="00F9256E">
              <w:rPr>
                <w:bCs/>
                <w:sz w:val="20"/>
                <w:szCs w:val="20"/>
              </w:rPr>
              <w:t xml:space="preserve">Case Study </w:t>
            </w:r>
          </w:p>
          <w:p w14:paraId="3FE2CFEA" w14:textId="77777777" w:rsidR="00EC0747" w:rsidRPr="006F25B0" w:rsidRDefault="00EC0747" w:rsidP="006F6E10">
            <w:pPr>
              <w:rPr>
                <w:bCs/>
                <w:sz w:val="20"/>
                <w:szCs w:val="20"/>
              </w:rPr>
            </w:pPr>
          </w:p>
        </w:tc>
        <w:tc>
          <w:tcPr>
            <w:tcW w:w="2776" w:type="dxa"/>
          </w:tcPr>
          <w:p w14:paraId="7B4F0ABD" w14:textId="54C41EC1" w:rsidR="001252E7" w:rsidRPr="001252E7" w:rsidRDefault="001252E7" w:rsidP="001252E7">
            <w:pPr>
              <w:pStyle w:val="NormalWeb"/>
              <w:spacing w:before="0" w:beforeAutospacing="0" w:after="120" w:afterAutospacing="0"/>
            </w:pPr>
            <w:r w:rsidRPr="001252E7">
              <w:rPr>
                <w:color w:val="000000"/>
                <w:sz w:val="20"/>
                <w:szCs w:val="20"/>
              </w:rPr>
              <w:t>Candidates prepare an in-depth biography of a student that addresses his/her unique oral and written language and literacy acquisition processes in and out of school, referencing theories that are demonstrated (incorporating sociocultural, second language acquisition theories, and theories of literacy development). </w:t>
            </w:r>
          </w:p>
        </w:tc>
        <w:tc>
          <w:tcPr>
            <w:tcW w:w="2770" w:type="dxa"/>
          </w:tcPr>
          <w:p w14:paraId="597FB26B" w14:textId="4457BAA9" w:rsidR="00EC0747" w:rsidRPr="001252E7" w:rsidRDefault="001252E7" w:rsidP="001252E7">
            <w:pPr>
              <w:rPr>
                <w:sz w:val="20"/>
                <w:szCs w:val="20"/>
              </w:rPr>
            </w:pPr>
            <w:r>
              <w:rPr>
                <w:sz w:val="20"/>
                <w:szCs w:val="20"/>
              </w:rPr>
              <w:t>EDRL 674: Foundational Theories of Language and Literacy Development</w:t>
            </w:r>
          </w:p>
        </w:tc>
        <w:tc>
          <w:tcPr>
            <w:tcW w:w="1296" w:type="dxa"/>
          </w:tcPr>
          <w:p w14:paraId="6D7AC112" w14:textId="7BF9A42D" w:rsidR="00EC0747" w:rsidRPr="001252E7" w:rsidRDefault="00D63E8F" w:rsidP="006F6E10">
            <w:pPr>
              <w:rPr>
                <w:sz w:val="20"/>
                <w:szCs w:val="20"/>
              </w:rPr>
            </w:pPr>
            <w:r>
              <w:rPr>
                <w:sz w:val="20"/>
                <w:szCs w:val="20"/>
              </w:rPr>
              <w:t xml:space="preserve">Watermark </w:t>
            </w:r>
            <w:r w:rsidR="00EC0747">
              <w:rPr>
                <w:sz w:val="20"/>
                <w:szCs w:val="20"/>
              </w:rPr>
              <w:t>Assessment Management System.</w:t>
            </w:r>
          </w:p>
          <w:p w14:paraId="194DBB5D" w14:textId="77777777" w:rsidR="00EC0747" w:rsidRPr="00701D03" w:rsidRDefault="00EC0747" w:rsidP="006F6E10">
            <w:pPr>
              <w:rPr>
                <w:sz w:val="20"/>
                <w:szCs w:val="20"/>
              </w:rPr>
            </w:pPr>
          </w:p>
        </w:tc>
        <w:tc>
          <w:tcPr>
            <w:tcW w:w="1531" w:type="dxa"/>
          </w:tcPr>
          <w:p w14:paraId="5619A0F2" w14:textId="77777777" w:rsidR="00EC0747" w:rsidRPr="00701D03" w:rsidRDefault="00EC0747" w:rsidP="006F6E10">
            <w:pPr>
              <w:rPr>
                <w:sz w:val="20"/>
                <w:szCs w:val="20"/>
              </w:rPr>
            </w:pPr>
            <w:r>
              <w:rPr>
                <w:sz w:val="20"/>
                <w:szCs w:val="20"/>
              </w:rPr>
              <w:t>Program Faculty</w:t>
            </w:r>
          </w:p>
        </w:tc>
      </w:tr>
      <w:tr w:rsidR="00D63E8F" w14:paraId="1CDC890B" w14:textId="77777777" w:rsidTr="00A6157D">
        <w:tc>
          <w:tcPr>
            <w:tcW w:w="1522" w:type="dxa"/>
          </w:tcPr>
          <w:p w14:paraId="2DC9ED0D" w14:textId="77777777" w:rsidR="00EC0747" w:rsidRDefault="00EC0747" w:rsidP="006F6E10">
            <w:pPr>
              <w:rPr>
                <w:b/>
                <w:sz w:val="20"/>
                <w:szCs w:val="20"/>
              </w:rPr>
            </w:pPr>
            <w:r w:rsidRPr="00701D03">
              <w:rPr>
                <w:b/>
                <w:sz w:val="20"/>
                <w:szCs w:val="20"/>
              </w:rPr>
              <w:t xml:space="preserve">Assessment #3: </w:t>
            </w:r>
          </w:p>
          <w:p w14:paraId="34F0E58E" w14:textId="29F95145" w:rsidR="00F9256E" w:rsidRDefault="00F9256E" w:rsidP="00F20FF3">
            <w:pPr>
              <w:pStyle w:val="NormalWeb"/>
              <w:spacing w:before="0" w:beforeAutospacing="0" w:after="0" w:afterAutospacing="0"/>
              <w:rPr>
                <w:color w:val="000000"/>
                <w:sz w:val="20"/>
                <w:szCs w:val="20"/>
              </w:rPr>
            </w:pPr>
            <w:r w:rsidRPr="00F9256E">
              <w:rPr>
                <w:b/>
                <w:bCs/>
                <w:color w:val="000000"/>
                <w:sz w:val="20"/>
                <w:szCs w:val="20"/>
              </w:rPr>
              <w:t>Assessment of Candidate Ability to Plan Instruction</w:t>
            </w:r>
            <w:r>
              <w:rPr>
                <w:color w:val="000000"/>
                <w:sz w:val="20"/>
                <w:szCs w:val="20"/>
              </w:rPr>
              <w:t xml:space="preserve"> </w:t>
            </w:r>
          </w:p>
          <w:p w14:paraId="5CAF888D" w14:textId="77777777" w:rsidR="00AC3D11" w:rsidRDefault="00AC3D11" w:rsidP="00F20FF3">
            <w:pPr>
              <w:pStyle w:val="NormalWeb"/>
              <w:spacing w:before="0" w:beforeAutospacing="0" w:after="0" w:afterAutospacing="0"/>
              <w:rPr>
                <w:color w:val="000000"/>
                <w:sz w:val="20"/>
                <w:szCs w:val="20"/>
              </w:rPr>
            </w:pPr>
          </w:p>
          <w:p w14:paraId="7A1290B8" w14:textId="7B9F9A57" w:rsidR="00EC0747" w:rsidRPr="00F20FF3" w:rsidRDefault="00F20FF3" w:rsidP="00F20FF3">
            <w:pPr>
              <w:pStyle w:val="NormalWeb"/>
              <w:spacing w:before="0" w:beforeAutospacing="0" w:after="0" w:afterAutospacing="0"/>
              <w:rPr>
                <w:sz w:val="20"/>
                <w:szCs w:val="20"/>
              </w:rPr>
            </w:pPr>
            <w:r w:rsidRPr="00F20FF3">
              <w:rPr>
                <w:color w:val="000000"/>
                <w:sz w:val="20"/>
                <w:szCs w:val="20"/>
              </w:rPr>
              <w:t>Disciplinary Literacy Instructional Routines</w:t>
            </w:r>
            <w:r>
              <w:rPr>
                <w:color w:val="000000"/>
                <w:sz w:val="20"/>
                <w:szCs w:val="20"/>
              </w:rPr>
              <w:t xml:space="preserve"> &amp; Materials Collection</w:t>
            </w:r>
          </w:p>
        </w:tc>
        <w:tc>
          <w:tcPr>
            <w:tcW w:w="2776" w:type="dxa"/>
          </w:tcPr>
          <w:p w14:paraId="3546CAB2" w14:textId="3D0E4F60" w:rsidR="00EC0747" w:rsidRPr="00AC3D11" w:rsidRDefault="00AC3D11" w:rsidP="00AC3D11">
            <w:pPr>
              <w:pStyle w:val="NormalWeb"/>
              <w:spacing w:before="0" w:beforeAutospacing="0" w:after="0" w:afterAutospacing="0"/>
              <w:rPr>
                <w:sz w:val="20"/>
                <w:szCs w:val="20"/>
              </w:rPr>
            </w:pPr>
            <w:r w:rsidRPr="00AC3D11">
              <w:rPr>
                <w:color w:val="000000"/>
                <w:sz w:val="20"/>
                <w:szCs w:val="20"/>
              </w:rPr>
              <w:t>Candidates generate an ongoing record of instructional routines and ideas for implementation; collect a series of relevant texts; and write a reflective essay that examines their process for designing and implementing ideas, and connections made to the readings in the course.  </w:t>
            </w:r>
          </w:p>
        </w:tc>
        <w:tc>
          <w:tcPr>
            <w:tcW w:w="2770" w:type="dxa"/>
          </w:tcPr>
          <w:p w14:paraId="77DADF35" w14:textId="0DBA11CF" w:rsidR="00EC0747" w:rsidRPr="00AC3D11" w:rsidRDefault="00AC3D11" w:rsidP="006F6E10">
            <w:pPr>
              <w:rPr>
                <w:sz w:val="20"/>
                <w:szCs w:val="20"/>
              </w:rPr>
            </w:pPr>
            <w:r w:rsidRPr="00AC3D11">
              <w:rPr>
                <w:sz w:val="20"/>
                <w:szCs w:val="20"/>
              </w:rPr>
              <w:t>EDRL 679: Content Area Language and Literacy Development</w:t>
            </w:r>
          </w:p>
        </w:tc>
        <w:tc>
          <w:tcPr>
            <w:tcW w:w="1296" w:type="dxa"/>
          </w:tcPr>
          <w:p w14:paraId="22B1FE93" w14:textId="1DE88BC1" w:rsidR="00EC0747" w:rsidRDefault="00D63E8F" w:rsidP="006F6E10">
            <w:pPr>
              <w:rPr>
                <w:sz w:val="20"/>
                <w:szCs w:val="20"/>
              </w:rPr>
            </w:pPr>
            <w:r>
              <w:rPr>
                <w:sz w:val="20"/>
                <w:szCs w:val="20"/>
              </w:rPr>
              <w:t xml:space="preserve">Watermark </w:t>
            </w:r>
            <w:r w:rsidR="00EC0747">
              <w:rPr>
                <w:sz w:val="20"/>
                <w:szCs w:val="20"/>
              </w:rPr>
              <w:t>Assessment Management System</w:t>
            </w:r>
          </w:p>
          <w:p w14:paraId="21800CDE" w14:textId="77777777" w:rsidR="00EC0747" w:rsidRDefault="00EC0747" w:rsidP="006F6E10">
            <w:pPr>
              <w:rPr>
                <w:sz w:val="20"/>
                <w:szCs w:val="20"/>
              </w:rPr>
            </w:pPr>
          </w:p>
        </w:tc>
        <w:tc>
          <w:tcPr>
            <w:tcW w:w="1531" w:type="dxa"/>
          </w:tcPr>
          <w:p w14:paraId="487A74B8" w14:textId="1BF20A84" w:rsidR="00EC0747" w:rsidRDefault="00EC0747" w:rsidP="006F6E10">
            <w:pPr>
              <w:rPr>
                <w:sz w:val="20"/>
                <w:szCs w:val="20"/>
              </w:rPr>
            </w:pPr>
            <w:r>
              <w:rPr>
                <w:sz w:val="20"/>
                <w:szCs w:val="20"/>
              </w:rPr>
              <w:t>Program Faculty</w:t>
            </w:r>
          </w:p>
        </w:tc>
      </w:tr>
      <w:tr w:rsidR="00D63E8F" w14:paraId="77ABBAF9" w14:textId="77777777" w:rsidTr="00A6157D">
        <w:tc>
          <w:tcPr>
            <w:tcW w:w="1522" w:type="dxa"/>
          </w:tcPr>
          <w:p w14:paraId="53822870" w14:textId="0125C08B" w:rsidR="00EC0747" w:rsidRPr="004E7DED" w:rsidRDefault="00EC0747" w:rsidP="006F6E10">
            <w:pPr>
              <w:rPr>
                <w:bCs/>
                <w:color w:val="000000" w:themeColor="text1"/>
                <w:sz w:val="20"/>
                <w:szCs w:val="20"/>
              </w:rPr>
            </w:pPr>
            <w:r w:rsidRPr="004E7DED">
              <w:rPr>
                <w:b/>
                <w:color w:val="000000" w:themeColor="text1"/>
                <w:sz w:val="20"/>
                <w:szCs w:val="20"/>
              </w:rPr>
              <w:t xml:space="preserve">Assessment #4: </w:t>
            </w:r>
            <w:r w:rsidR="00F4173F" w:rsidRPr="004E7DED">
              <w:rPr>
                <w:b/>
                <w:color w:val="000000" w:themeColor="text1"/>
                <w:sz w:val="20"/>
                <w:szCs w:val="20"/>
              </w:rPr>
              <w:t>Assessment of Student Teaching</w:t>
            </w:r>
          </w:p>
          <w:p w14:paraId="29F84285" w14:textId="341CC288" w:rsidR="00F20FF3" w:rsidRPr="004E7DED" w:rsidRDefault="00F20FF3" w:rsidP="006F6E10">
            <w:pPr>
              <w:rPr>
                <w:b/>
                <w:bCs/>
                <w:color w:val="000000" w:themeColor="text1"/>
                <w:sz w:val="20"/>
                <w:szCs w:val="20"/>
              </w:rPr>
            </w:pPr>
          </w:p>
          <w:p w14:paraId="4356286E" w14:textId="2952384C" w:rsidR="00EC0747" w:rsidRPr="004E7DED" w:rsidRDefault="00AC3D11" w:rsidP="006F6E10">
            <w:pPr>
              <w:rPr>
                <w:color w:val="000000" w:themeColor="text1"/>
                <w:sz w:val="20"/>
                <w:szCs w:val="20"/>
              </w:rPr>
            </w:pPr>
            <w:r w:rsidRPr="004E7DED">
              <w:rPr>
                <w:color w:val="000000" w:themeColor="text1"/>
                <w:sz w:val="20"/>
                <w:szCs w:val="20"/>
              </w:rPr>
              <w:lastRenderedPageBreak/>
              <w:t>Final field practicum report</w:t>
            </w:r>
          </w:p>
        </w:tc>
        <w:tc>
          <w:tcPr>
            <w:tcW w:w="2776" w:type="dxa"/>
          </w:tcPr>
          <w:p w14:paraId="5B59D256" w14:textId="688956DF" w:rsidR="004E7DED" w:rsidRPr="004E7DED" w:rsidRDefault="004E7DED" w:rsidP="004E7DED">
            <w:pPr>
              <w:rPr>
                <w:color w:val="000000" w:themeColor="text1"/>
                <w:sz w:val="20"/>
                <w:szCs w:val="20"/>
              </w:rPr>
            </w:pPr>
            <w:r w:rsidRPr="004E7DED">
              <w:rPr>
                <w:color w:val="000000" w:themeColor="text1"/>
                <w:sz w:val="20"/>
                <w:szCs w:val="20"/>
              </w:rPr>
              <w:lastRenderedPageBreak/>
              <w:t>Candidates</w:t>
            </w:r>
            <w:r>
              <w:rPr>
                <w:color w:val="000000" w:themeColor="text1"/>
                <w:sz w:val="20"/>
                <w:szCs w:val="20"/>
              </w:rPr>
              <w:t xml:space="preserve"> gather all collected data on 1) Student Identity and Interests; 2) Assessment Tools and Approaches to Gathering Data; 3) Analysis of Data and Explanations/Conclusions; 4) </w:t>
            </w:r>
            <w:r>
              <w:rPr>
                <w:color w:val="000000" w:themeColor="text1"/>
                <w:sz w:val="20"/>
                <w:szCs w:val="20"/>
              </w:rPr>
              <w:lastRenderedPageBreak/>
              <w:t>Instructional design; and synthesize their learning in a final report.</w:t>
            </w:r>
            <w:r w:rsidRPr="004E7DED">
              <w:rPr>
                <w:color w:val="000000" w:themeColor="text1"/>
                <w:sz w:val="20"/>
                <w:szCs w:val="20"/>
              </w:rPr>
              <w:t xml:space="preserve"> </w:t>
            </w:r>
          </w:p>
        </w:tc>
        <w:tc>
          <w:tcPr>
            <w:tcW w:w="2770" w:type="dxa"/>
          </w:tcPr>
          <w:p w14:paraId="1FE706EF" w14:textId="379E5E95" w:rsidR="00EC0747" w:rsidRDefault="00AC3D11" w:rsidP="006F6E10">
            <w:pPr>
              <w:rPr>
                <w:sz w:val="20"/>
                <w:szCs w:val="20"/>
              </w:rPr>
            </w:pPr>
            <w:r>
              <w:rPr>
                <w:sz w:val="20"/>
                <w:szCs w:val="20"/>
              </w:rPr>
              <w:lastRenderedPageBreak/>
              <w:t>EDRL 680: Assessment and Instruction (Final course of the program)</w:t>
            </w:r>
          </w:p>
        </w:tc>
        <w:tc>
          <w:tcPr>
            <w:tcW w:w="1296" w:type="dxa"/>
          </w:tcPr>
          <w:p w14:paraId="7D01C28E" w14:textId="46927938" w:rsidR="00EC0747" w:rsidRDefault="00D63E8F" w:rsidP="006F6E10">
            <w:pPr>
              <w:rPr>
                <w:sz w:val="20"/>
                <w:szCs w:val="20"/>
              </w:rPr>
            </w:pPr>
            <w:r>
              <w:rPr>
                <w:sz w:val="20"/>
                <w:szCs w:val="20"/>
              </w:rPr>
              <w:t xml:space="preserve">Watermark </w:t>
            </w:r>
            <w:r w:rsidR="00EC0747">
              <w:rPr>
                <w:sz w:val="20"/>
                <w:szCs w:val="20"/>
              </w:rPr>
              <w:t>Assessment Management System</w:t>
            </w:r>
          </w:p>
          <w:p w14:paraId="4791C995" w14:textId="77777777" w:rsidR="00EC0747" w:rsidRDefault="00EC0747" w:rsidP="006F6E10">
            <w:pPr>
              <w:rPr>
                <w:sz w:val="20"/>
                <w:szCs w:val="20"/>
              </w:rPr>
            </w:pPr>
            <w:r>
              <w:rPr>
                <w:sz w:val="20"/>
                <w:szCs w:val="20"/>
              </w:rPr>
              <w:t xml:space="preserve"> </w:t>
            </w:r>
          </w:p>
        </w:tc>
        <w:tc>
          <w:tcPr>
            <w:tcW w:w="1531" w:type="dxa"/>
          </w:tcPr>
          <w:p w14:paraId="3EEF26AE" w14:textId="4A0CC851" w:rsidR="00EC0747" w:rsidRDefault="00EC0747" w:rsidP="006F6E10">
            <w:pPr>
              <w:rPr>
                <w:sz w:val="20"/>
                <w:szCs w:val="20"/>
              </w:rPr>
            </w:pPr>
            <w:r>
              <w:rPr>
                <w:sz w:val="20"/>
                <w:szCs w:val="20"/>
              </w:rPr>
              <w:t>Program Faculty</w:t>
            </w:r>
          </w:p>
        </w:tc>
      </w:tr>
      <w:tr w:rsidR="00D63E8F" w14:paraId="3F564FF1" w14:textId="77777777" w:rsidTr="00A6157D">
        <w:tc>
          <w:tcPr>
            <w:tcW w:w="1522" w:type="dxa"/>
          </w:tcPr>
          <w:p w14:paraId="1230D387" w14:textId="24538EB4" w:rsidR="00EC0747" w:rsidRDefault="00EC0747" w:rsidP="006F6E10">
            <w:pPr>
              <w:rPr>
                <w:bCs/>
                <w:sz w:val="20"/>
                <w:szCs w:val="20"/>
              </w:rPr>
            </w:pPr>
            <w:r w:rsidRPr="00E93559">
              <w:rPr>
                <w:b/>
                <w:sz w:val="20"/>
                <w:szCs w:val="20"/>
              </w:rPr>
              <w:t>Assessment #5:</w:t>
            </w:r>
            <w:r w:rsidR="00F4173F">
              <w:rPr>
                <w:b/>
                <w:sz w:val="20"/>
                <w:szCs w:val="20"/>
              </w:rPr>
              <w:t xml:space="preserve"> Assessment of Candidate Effect on Student Learning</w:t>
            </w:r>
          </w:p>
          <w:p w14:paraId="6683E0D8" w14:textId="77777777" w:rsidR="00F9256E" w:rsidRDefault="00F9256E" w:rsidP="006F6E10">
            <w:pPr>
              <w:rPr>
                <w:b/>
                <w:sz w:val="20"/>
                <w:szCs w:val="20"/>
              </w:rPr>
            </w:pPr>
          </w:p>
          <w:p w14:paraId="762F9943" w14:textId="7C9EA06C" w:rsidR="00EC0747" w:rsidRPr="00F9256E" w:rsidRDefault="00AC3D11" w:rsidP="006F6E10">
            <w:pPr>
              <w:rPr>
                <w:sz w:val="20"/>
                <w:szCs w:val="20"/>
              </w:rPr>
            </w:pPr>
            <w:r>
              <w:rPr>
                <w:sz w:val="20"/>
                <w:szCs w:val="20"/>
              </w:rPr>
              <w:t xml:space="preserve">Final Report: Analysis and Reflection </w:t>
            </w:r>
          </w:p>
        </w:tc>
        <w:tc>
          <w:tcPr>
            <w:tcW w:w="2776" w:type="dxa"/>
          </w:tcPr>
          <w:p w14:paraId="6F71B955" w14:textId="77D69C2D" w:rsidR="00AC3D11" w:rsidRPr="00AC3D11" w:rsidRDefault="00AC3D11" w:rsidP="00AC3D11">
            <w:pPr>
              <w:rPr>
                <w:sz w:val="20"/>
                <w:szCs w:val="20"/>
              </w:rPr>
            </w:pPr>
            <w:r>
              <w:rPr>
                <w:sz w:val="20"/>
                <w:szCs w:val="20"/>
              </w:rPr>
              <w:t xml:space="preserve">Candidates provide a final </w:t>
            </w:r>
            <w:r>
              <w:rPr>
                <w:color w:val="000000"/>
                <w:sz w:val="20"/>
                <w:szCs w:val="20"/>
              </w:rPr>
              <w:t xml:space="preserve">report with their observations, analyses, and final reflections on </w:t>
            </w:r>
            <w:r w:rsidRPr="00AC3D11">
              <w:rPr>
                <w:color w:val="000000"/>
                <w:sz w:val="20"/>
                <w:szCs w:val="20"/>
              </w:rPr>
              <w:t>students’ reading</w:t>
            </w:r>
            <w:r>
              <w:rPr>
                <w:color w:val="000000"/>
                <w:sz w:val="20"/>
                <w:szCs w:val="20"/>
              </w:rPr>
              <w:t xml:space="preserve"> </w:t>
            </w:r>
            <w:r w:rsidRPr="00AC3D11">
              <w:rPr>
                <w:color w:val="000000"/>
                <w:sz w:val="20"/>
                <w:szCs w:val="20"/>
              </w:rPr>
              <w:t>processes and their skill development and strategy use as readers and writers</w:t>
            </w:r>
            <w:r>
              <w:rPr>
                <w:color w:val="000000"/>
                <w:sz w:val="20"/>
                <w:szCs w:val="20"/>
              </w:rPr>
              <w:t xml:space="preserve"> as a result of candidate instruction.</w:t>
            </w:r>
          </w:p>
        </w:tc>
        <w:tc>
          <w:tcPr>
            <w:tcW w:w="2770" w:type="dxa"/>
          </w:tcPr>
          <w:p w14:paraId="78DFF3E0" w14:textId="3FB9CE15" w:rsidR="00EC0747" w:rsidRDefault="00AC3D11" w:rsidP="006F6E10">
            <w:pPr>
              <w:rPr>
                <w:sz w:val="20"/>
                <w:szCs w:val="20"/>
              </w:rPr>
            </w:pPr>
            <w:r>
              <w:rPr>
                <w:sz w:val="20"/>
                <w:szCs w:val="20"/>
              </w:rPr>
              <w:t>EDRL 675: Language and Literacy Methods</w:t>
            </w:r>
          </w:p>
        </w:tc>
        <w:tc>
          <w:tcPr>
            <w:tcW w:w="1296" w:type="dxa"/>
          </w:tcPr>
          <w:p w14:paraId="429BDE46" w14:textId="14845C19" w:rsidR="00EC0747" w:rsidRDefault="00D63E8F" w:rsidP="006F6E10">
            <w:pPr>
              <w:rPr>
                <w:sz w:val="20"/>
                <w:szCs w:val="20"/>
              </w:rPr>
            </w:pPr>
            <w:r>
              <w:rPr>
                <w:sz w:val="20"/>
                <w:szCs w:val="20"/>
              </w:rPr>
              <w:t xml:space="preserve">Watermark </w:t>
            </w:r>
            <w:r w:rsidR="00EC0747">
              <w:rPr>
                <w:sz w:val="20"/>
                <w:szCs w:val="20"/>
              </w:rPr>
              <w:t>Assessment Management System</w:t>
            </w:r>
          </w:p>
          <w:p w14:paraId="70AAEDAE" w14:textId="77777777" w:rsidR="00EC0747" w:rsidRDefault="00EC0747" w:rsidP="006F6E10">
            <w:pPr>
              <w:rPr>
                <w:sz w:val="20"/>
                <w:szCs w:val="20"/>
              </w:rPr>
            </w:pPr>
          </w:p>
        </w:tc>
        <w:tc>
          <w:tcPr>
            <w:tcW w:w="1531" w:type="dxa"/>
          </w:tcPr>
          <w:p w14:paraId="686D2CA3" w14:textId="151DAA03" w:rsidR="00EC0747" w:rsidRDefault="00EC0747" w:rsidP="006F6E10">
            <w:pPr>
              <w:rPr>
                <w:sz w:val="20"/>
                <w:szCs w:val="20"/>
              </w:rPr>
            </w:pPr>
            <w:r>
              <w:rPr>
                <w:sz w:val="20"/>
                <w:szCs w:val="20"/>
              </w:rPr>
              <w:t>Program Faculty</w:t>
            </w:r>
          </w:p>
        </w:tc>
      </w:tr>
      <w:tr w:rsidR="00D63E8F" w14:paraId="2C8A8F8F" w14:textId="77777777" w:rsidTr="00A6157D">
        <w:tc>
          <w:tcPr>
            <w:tcW w:w="1522" w:type="dxa"/>
          </w:tcPr>
          <w:p w14:paraId="6D45AB83" w14:textId="442C5743" w:rsidR="00BC3854" w:rsidRDefault="00EC0747" w:rsidP="00BC3854">
            <w:pPr>
              <w:rPr>
                <w:b/>
                <w:sz w:val="20"/>
                <w:szCs w:val="20"/>
              </w:rPr>
            </w:pPr>
            <w:r w:rsidRPr="00E93559">
              <w:rPr>
                <w:b/>
                <w:sz w:val="20"/>
                <w:szCs w:val="20"/>
              </w:rPr>
              <w:t xml:space="preserve">Assessment #6: </w:t>
            </w:r>
            <w:r w:rsidR="00BC3854" w:rsidRPr="00BC3854">
              <w:rPr>
                <w:b/>
                <w:sz w:val="20"/>
                <w:szCs w:val="20"/>
              </w:rPr>
              <w:t>Assessment that demonstrates candidates have a philosophy of teaching that reflects candidates’ commitment to the Critical Issues Related to Culturally and Linguistically Diverse Students.</w:t>
            </w:r>
          </w:p>
          <w:p w14:paraId="741C8313" w14:textId="04DD52A9" w:rsidR="00AC3D11" w:rsidRDefault="00AC3D11" w:rsidP="00BC3854">
            <w:pPr>
              <w:rPr>
                <w:sz w:val="20"/>
                <w:szCs w:val="20"/>
              </w:rPr>
            </w:pPr>
          </w:p>
          <w:p w14:paraId="39B8E075" w14:textId="66A9C36D" w:rsidR="00AC3D11" w:rsidRPr="00701D03" w:rsidRDefault="00AC3D11" w:rsidP="00BC3854">
            <w:pPr>
              <w:rPr>
                <w:sz w:val="20"/>
                <w:szCs w:val="20"/>
              </w:rPr>
            </w:pPr>
            <w:r>
              <w:rPr>
                <w:sz w:val="20"/>
                <w:szCs w:val="20"/>
              </w:rPr>
              <w:t>Culturally Responsive Classroom Connections and Implications: Philosophy Essay</w:t>
            </w:r>
          </w:p>
          <w:p w14:paraId="24D1AE10" w14:textId="3D5CA3C6" w:rsidR="00EC0747" w:rsidRPr="00701D03" w:rsidRDefault="00EC0747" w:rsidP="006F6E10">
            <w:pPr>
              <w:rPr>
                <w:sz w:val="20"/>
                <w:szCs w:val="20"/>
              </w:rPr>
            </w:pPr>
          </w:p>
        </w:tc>
        <w:tc>
          <w:tcPr>
            <w:tcW w:w="2776" w:type="dxa"/>
          </w:tcPr>
          <w:p w14:paraId="0DF5AEC4" w14:textId="7F326228" w:rsidR="00EC0747" w:rsidRPr="00701D03" w:rsidRDefault="00AC3D11" w:rsidP="006F6E10">
            <w:pPr>
              <w:rPr>
                <w:sz w:val="20"/>
                <w:szCs w:val="20"/>
              </w:rPr>
            </w:pPr>
            <w:r>
              <w:rPr>
                <w:sz w:val="20"/>
                <w:szCs w:val="20"/>
              </w:rPr>
              <w:t>As a part of a project on classroom connections and implications as a result of engaging in language and literacy research, candidates articulate a philosophy of teaching that addresses a commitment to critical issues related to culturally and linguistically diverse students.</w:t>
            </w:r>
          </w:p>
        </w:tc>
        <w:tc>
          <w:tcPr>
            <w:tcW w:w="2770" w:type="dxa"/>
          </w:tcPr>
          <w:p w14:paraId="253E5F62" w14:textId="36FD2A72" w:rsidR="00EC0747" w:rsidRPr="00701D03" w:rsidRDefault="00AC3D11" w:rsidP="006F6E10">
            <w:pPr>
              <w:rPr>
                <w:sz w:val="20"/>
                <w:szCs w:val="20"/>
              </w:rPr>
            </w:pPr>
            <w:r>
              <w:rPr>
                <w:sz w:val="20"/>
                <w:szCs w:val="20"/>
              </w:rPr>
              <w:t>EDRL 671: Language, Reading, and Culture</w:t>
            </w:r>
          </w:p>
        </w:tc>
        <w:tc>
          <w:tcPr>
            <w:tcW w:w="1296" w:type="dxa"/>
          </w:tcPr>
          <w:p w14:paraId="64DE05B2" w14:textId="5841551E" w:rsidR="00EC0747" w:rsidRDefault="00D63E8F" w:rsidP="006F6E10">
            <w:pPr>
              <w:rPr>
                <w:sz w:val="20"/>
                <w:szCs w:val="20"/>
              </w:rPr>
            </w:pPr>
            <w:r>
              <w:rPr>
                <w:sz w:val="20"/>
                <w:szCs w:val="20"/>
              </w:rPr>
              <w:t>Watermark</w:t>
            </w:r>
            <w:r w:rsidR="00EC0747">
              <w:rPr>
                <w:sz w:val="20"/>
                <w:szCs w:val="20"/>
              </w:rPr>
              <w:t xml:space="preserve"> Assessment Management System</w:t>
            </w:r>
          </w:p>
          <w:p w14:paraId="348D685D" w14:textId="77777777" w:rsidR="00EC0747" w:rsidRPr="00701D03" w:rsidRDefault="00EC0747" w:rsidP="006F6E10">
            <w:pPr>
              <w:rPr>
                <w:sz w:val="20"/>
                <w:szCs w:val="20"/>
              </w:rPr>
            </w:pPr>
          </w:p>
        </w:tc>
        <w:tc>
          <w:tcPr>
            <w:tcW w:w="1531" w:type="dxa"/>
          </w:tcPr>
          <w:p w14:paraId="2FE98470" w14:textId="1A9D3BAD" w:rsidR="00EC0747" w:rsidRPr="00701D03" w:rsidRDefault="00EC0747" w:rsidP="006F6E10">
            <w:pPr>
              <w:rPr>
                <w:sz w:val="20"/>
                <w:szCs w:val="20"/>
              </w:rPr>
            </w:pPr>
            <w:r>
              <w:rPr>
                <w:sz w:val="20"/>
                <w:szCs w:val="20"/>
              </w:rPr>
              <w:t xml:space="preserve">Program Faculty </w:t>
            </w:r>
          </w:p>
        </w:tc>
      </w:tr>
    </w:tbl>
    <w:p w14:paraId="48CE8FBC" w14:textId="13B8DEAD" w:rsidR="00EC0747" w:rsidRDefault="00EC0747" w:rsidP="00EC0747">
      <w:pPr>
        <w:rPr>
          <w:b/>
          <w:bCs/>
        </w:rPr>
      </w:pPr>
    </w:p>
    <w:p w14:paraId="364342F4" w14:textId="77777777" w:rsidR="00A6157D" w:rsidRPr="000E1322" w:rsidRDefault="00A6157D" w:rsidP="00EC0747">
      <w:pPr>
        <w:rPr>
          <w:b/>
          <w:bCs/>
        </w:rPr>
      </w:pPr>
    </w:p>
    <w:p w14:paraId="376D0487" w14:textId="77777777" w:rsidR="00EC0747" w:rsidRPr="00BA0249" w:rsidRDefault="00EC0747" w:rsidP="00EC0747">
      <w:pPr>
        <w:pStyle w:val="HeadingA"/>
        <w:rPr>
          <w:bCs/>
          <w:smallCaps w:val="0"/>
          <w:sz w:val="24"/>
        </w:rPr>
      </w:pPr>
      <w:r w:rsidRPr="00BA0249">
        <w:rPr>
          <w:bCs/>
          <w:smallCaps w:val="0"/>
          <w:sz w:val="24"/>
        </w:rPr>
        <w:t xml:space="preserve">Table 2: Alignment of </w:t>
      </w:r>
      <w:r>
        <w:rPr>
          <w:bCs/>
          <w:smallCaps w:val="0"/>
          <w:sz w:val="24"/>
        </w:rPr>
        <w:t xml:space="preserve">Program </w:t>
      </w:r>
      <w:r w:rsidRPr="00BA0249">
        <w:rPr>
          <w:bCs/>
          <w:smallCaps w:val="0"/>
          <w:sz w:val="24"/>
        </w:rPr>
        <w:t>Student Learning Outcomes and Assessment Measures</w:t>
      </w:r>
    </w:p>
    <w:p w14:paraId="6C5371BA" w14:textId="77777777" w:rsidR="00EC0747" w:rsidRDefault="00EC0747" w:rsidP="00EC0747"/>
    <w:tbl>
      <w:tblPr>
        <w:tblStyle w:val="TableGrid"/>
        <w:tblW w:w="0" w:type="auto"/>
        <w:tblLook w:val="04A0" w:firstRow="1" w:lastRow="0" w:firstColumn="1" w:lastColumn="0" w:noHBand="0" w:noVBand="1"/>
        <w:tblCaption w:val="Table 2: Alignment of Program Student Learning Outcomes and Assessment Measures"/>
      </w:tblPr>
      <w:tblGrid>
        <w:gridCol w:w="4765"/>
        <w:gridCol w:w="5161"/>
      </w:tblGrid>
      <w:tr w:rsidR="00EC0747" w:rsidRPr="00C178D2" w14:paraId="25EB893B" w14:textId="77777777" w:rsidTr="001718F2">
        <w:trPr>
          <w:tblHeader/>
        </w:trPr>
        <w:tc>
          <w:tcPr>
            <w:tcW w:w="4765" w:type="dxa"/>
            <w:shd w:val="clear" w:color="auto" w:fill="D9D9D9" w:themeFill="background1" w:themeFillShade="D9"/>
          </w:tcPr>
          <w:p w14:paraId="583EDFBC" w14:textId="77777777" w:rsidR="00EC0747" w:rsidRPr="00C178D2" w:rsidRDefault="00EC0747" w:rsidP="006F6E10">
            <w:pPr>
              <w:jc w:val="center"/>
              <w:rPr>
                <w:b/>
                <w:bCs/>
                <w:sz w:val="20"/>
                <w:szCs w:val="20"/>
              </w:rPr>
            </w:pPr>
            <w:r w:rsidRPr="00C178D2">
              <w:rPr>
                <w:b/>
                <w:bCs/>
                <w:sz w:val="20"/>
                <w:szCs w:val="20"/>
              </w:rPr>
              <w:t>Program Student Learning Outcomes</w:t>
            </w:r>
          </w:p>
        </w:tc>
        <w:tc>
          <w:tcPr>
            <w:tcW w:w="5161" w:type="dxa"/>
            <w:shd w:val="clear" w:color="auto" w:fill="D9D9D9" w:themeFill="background1" w:themeFillShade="D9"/>
          </w:tcPr>
          <w:p w14:paraId="7F1A102D" w14:textId="77777777" w:rsidR="00EC0747" w:rsidRPr="00C178D2" w:rsidRDefault="00EC0747" w:rsidP="006F6E10">
            <w:pPr>
              <w:jc w:val="center"/>
              <w:rPr>
                <w:b/>
                <w:sz w:val="20"/>
                <w:szCs w:val="20"/>
              </w:rPr>
            </w:pPr>
            <w:r w:rsidRPr="00C178D2">
              <w:rPr>
                <w:b/>
                <w:sz w:val="20"/>
                <w:szCs w:val="20"/>
              </w:rPr>
              <w:t>Assessment Measures</w:t>
            </w:r>
          </w:p>
        </w:tc>
      </w:tr>
      <w:tr w:rsidR="00EC0747" w:rsidRPr="00C178D2" w14:paraId="67B7A774" w14:textId="77777777" w:rsidTr="0076602C">
        <w:tc>
          <w:tcPr>
            <w:tcW w:w="4765" w:type="dxa"/>
          </w:tcPr>
          <w:p w14:paraId="57FC7213" w14:textId="0B5F9B21" w:rsidR="00EC0747" w:rsidRPr="00AC3D11" w:rsidRDefault="00EC0747" w:rsidP="00AC3D11">
            <w:pPr>
              <w:textAlignment w:val="baseline"/>
              <w:rPr>
                <w:color w:val="000000"/>
                <w:sz w:val="20"/>
                <w:szCs w:val="20"/>
              </w:rPr>
            </w:pPr>
            <w:r w:rsidRPr="00AC3D11">
              <w:rPr>
                <w:sz w:val="20"/>
                <w:szCs w:val="20"/>
              </w:rPr>
              <w:t xml:space="preserve">1. </w:t>
            </w:r>
            <w:r w:rsidR="00AC3D11" w:rsidRPr="00AC3D11">
              <w:rPr>
                <w:color w:val="303C42"/>
                <w:sz w:val="20"/>
                <w:szCs w:val="20"/>
              </w:rPr>
              <w:t>Demonstrate knowledge of English language structures, English language use, second language acquisition and development, and language processes to help English Language Learners (ELLs) acquire academic language and literacies specific to various content areas (TESOL 1).</w:t>
            </w:r>
          </w:p>
        </w:tc>
        <w:tc>
          <w:tcPr>
            <w:tcW w:w="5161" w:type="dxa"/>
          </w:tcPr>
          <w:p w14:paraId="0AB13459" w14:textId="77777777" w:rsidR="00EC0747" w:rsidRPr="00C178D2" w:rsidRDefault="00EC0747" w:rsidP="006F6E10">
            <w:pPr>
              <w:rPr>
                <w:sz w:val="20"/>
                <w:szCs w:val="20"/>
              </w:rPr>
            </w:pPr>
            <w:r w:rsidRPr="00C178D2">
              <w:rPr>
                <w:sz w:val="20"/>
                <w:szCs w:val="20"/>
              </w:rPr>
              <w:t>Assessment:</w:t>
            </w:r>
          </w:p>
          <w:p w14:paraId="4B31EDF5" w14:textId="77777777" w:rsidR="00EC0747" w:rsidRPr="00C178D2" w:rsidRDefault="00EC0747" w:rsidP="006F6E10">
            <w:pPr>
              <w:rPr>
                <w:sz w:val="20"/>
                <w:szCs w:val="20"/>
              </w:rPr>
            </w:pPr>
            <w:r w:rsidRPr="00C178D2">
              <w:rPr>
                <w:sz w:val="20"/>
                <w:szCs w:val="20"/>
              </w:rPr>
              <w:t xml:space="preserve">#1: Licensure assessment, or other content-based assessment </w:t>
            </w:r>
          </w:p>
          <w:p w14:paraId="5582AF9D" w14:textId="77777777" w:rsidR="00EC0747" w:rsidRPr="00C178D2" w:rsidRDefault="00EC0747" w:rsidP="006F6E10">
            <w:pPr>
              <w:rPr>
                <w:sz w:val="20"/>
                <w:szCs w:val="20"/>
              </w:rPr>
            </w:pPr>
            <w:r w:rsidRPr="00C178D2">
              <w:rPr>
                <w:sz w:val="20"/>
                <w:szCs w:val="20"/>
              </w:rPr>
              <w:t>#2: Content Knowledge</w:t>
            </w:r>
          </w:p>
          <w:p w14:paraId="1197EB30" w14:textId="3A657272" w:rsidR="00EC0747" w:rsidRDefault="00EC0747" w:rsidP="006F6E10">
            <w:pPr>
              <w:rPr>
                <w:sz w:val="20"/>
                <w:szCs w:val="20"/>
              </w:rPr>
            </w:pPr>
            <w:r w:rsidRPr="00C178D2">
              <w:rPr>
                <w:sz w:val="20"/>
                <w:szCs w:val="20"/>
              </w:rPr>
              <w:t xml:space="preserve">#3: </w:t>
            </w:r>
            <w:r w:rsidR="004E7DED">
              <w:rPr>
                <w:sz w:val="20"/>
                <w:szCs w:val="20"/>
              </w:rPr>
              <w:t>Ability to Plan Instruction</w:t>
            </w:r>
          </w:p>
          <w:p w14:paraId="60E450A2" w14:textId="72400B11" w:rsidR="004E7DED" w:rsidRPr="00C178D2" w:rsidRDefault="004E7DED" w:rsidP="006F6E10">
            <w:pPr>
              <w:rPr>
                <w:sz w:val="20"/>
                <w:szCs w:val="20"/>
              </w:rPr>
            </w:pPr>
            <w:r>
              <w:rPr>
                <w:sz w:val="20"/>
                <w:szCs w:val="20"/>
              </w:rPr>
              <w:t>#4: Student Teaching</w:t>
            </w:r>
          </w:p>
          <w:p w14:paraId="31676C6F" w14:textId="21FF70B6" w:rsidR="00EC0747" w:rsidRPr="00C178D2" w:rsidRDefault="00EC0747" w:rsidP="006F6E10">
            <w:pPr>
              <w:rPr>
                <w:sz w:val="20"/>
                <w:szCs w:val="20"/>
              </w:rPr>
            </w:pPr>
            <w:r w:rsidRPr="00C178D2">
              <w:rPr>
                <w:sz w:val="20"/>
                <w:szCs w:val="20"/>
              </w:rPr>
              <w:t>#</w:t>
            </w:r>
            <w:r w:rsidR="004E7DED">
              <w:rPr>
                <w:sz w:val="20"/>
                <w:szCs w:val="20"/>
              </w:rPr>
              <w:t>5</w:t>
            </w:r>
            <w:r w:rsidRPr="00C178D2">
              <w:rPr>
                <w:sz w:val="20"/>
                <w:szCs w:val="20"/>
              </w:rPr>
              <w:t xml:space="preserve">: </w:t>
            </w:r>
            <w:r w:rsidR="004E7DED">
              <w:rPr>
                <w:sz w:val="20"/>
                <w:szCs w:val="20"/>
              </w:rPr>
              <w:t>Effect on Student Learning</w:t>
            </w:r>
          </w:p>
        </w:tc>
      </w:tr>
      <w:tr w:rsidR="00EC0747" w:rsidRPr="00C178D2" w14:paraId="7A327CDE" w14:textId="77777777" w:rsidTr="0076602C">
        <w:tc>
          <w:tcPr>
            <w:tcW w:w="4765" w:type="dxa"/>
          </w:tcPr>
          <w:p w14:paraId="120AEA3C" w14:textId="18BDFDAA" w:rsidR="00EC0747" w:rsidRPr="00C178D2" w:rsidRDefault="00EC0747" w:rsidP="00AC3D11">
            <w:pPr>
              <w:pStyle w:val="NormalWeb"/>
              <w:rPr>
                <w:sz w:val="20"/>
                <w:szCs w:val="20"/>
              </w:rPr>
            </w:pPr>
            <w:r w:rsidRPr="00C178D2">
              <w:rPr>
                <w:sz w:val="20"/>
                <w:szCs w:val="20"/>
              </w:rPr>
              <w:t xml:space="preserve">2. </w:t>
            </w:r>
            <w:r w:rsidR="00AC3D11" w:rsidRPr="00AC3D11">
              <w:rPr>
                <w:sz w:val="20"/>
                <w:szCs w:val="20"/>
              </w:rPr>
              <w:t xml:space="preserve">Demonstrate and apply knowledge of the impact of dynamic academic, personal, familial, cultural, social, and sociopolitical contexts on the education and language acquisition of ELLs as supported by research </w:t>
            </w:r>
            <w:r w:rsidR="00AC3D11" w:rsidRPr="00AC3D11">
              <w:rPr>
                <w:sz w:val="20"/>
                <w:szCs w:val="20"/>
              </w:rPr>
              <w:lastRenderedPageBreak/>
              <w:t>and theories. Candidates investigate the academic and personal characteristics of each ELL, as well as family circumstances and literacy practices, to develop individualized, effective instructional and assessment practices for their ELLs. Candidates recognize how educator identity, role, culture, and biases impact the interpretation of ELLs’ strengths and needs (TESOL 2)</w:t>
            </w:r>
            <w:r w:rsidR="00AC3D11">
              <w:rPr>
                <w:sz w:val="20"/>
                <w:szCs w:val="20"/>
              </w:rPr>
              <w:t>.</w:t>
            </w:r>
          </w:p>
        </w:tc>
        <w:tc>
          <w:tcPr>
            <w:tcW w:w="5161" w:type="dxa"/>
          </w:tcPr>
          <w:p w14:paraId="47C8C734" w14:textId="77777777" w:rsidR="00EC0747" w:rsidRPr="00C178D2" w:rsidRDefault="00EC0747" w:rsidP="006F6E10">
            <w:pPr>
              <w:rPr>
                <w:sz w:val="20"/>
                <w:szCs w:val="20"/>
              </w:rPr>
            </w:pPr>
            <w:r w:rsidRPr="00C178D2">
              <w:rPr>
                <w:sz w:val="20"/>
                <w:szCs w:val="20"/>
              </w:rPr>
              <w:lastRenderedPageBreak/>
              <w:t>Assessment:</w:t>
            </w:r>
          </w:p>
          <w:p w14:paraId="7C8EF3B3" w14:textId="77777777" w:rsidR="00EC0747" w:rsidRPr="00C178D2" w:rsidRDefault="00EC0747" w:rsidP="006F6E10">
            <w:pPr>
              <w:rPr>
                <w:sz w:val="20"/>
                <w:szCs w:val="20"/>
              </w:rPr>
            </w:pPr>
            <w:r w:rsidRPr="00C178D2">
              <w:rPr>
                <w:sz w:val="20"/>
                <w:szCs w:val="20"/>
              </w:rPr>
              <w:t xml:space="preserve">#1: Licensure assessment, or other content-based assessment </w:t>
            </w:r>
          </w:p>
          <w:p w14:paraId="132803C1" w14:textId="510B4664" w:rsidR="00EC0747" w:rsidRDefault="00EC0747" w:rsidP="006F6E10">
            <w:pPr>
              <w:rPr>
                <w:sz w:val="20"/>
                <w:szCs w:val="20"/>
              </w:rPr>
            </w:pPr>
            <w:r w:rsidRPr="00C178D2">
              <w:rPr>
                <w:sz w:val="20"/>
                <w:szCs w:val="20"/>
              </w:rPr>
              <w:t>#2: Content Knowledge</w:t>
            </w:r>
          </w:p>
          <w:p w14:paraId="38985241" w14:textId="40445742" w:rsidR="004E7DED" w:rsidRPr="00C178D2" w:rsidRDefault="004E7DED" w:rsidP="006F6E10">
            <w:pPr>
              <w:rPr>
                <w:sz w:val="20"/>
                <w:szCs w:val="20"/>
              </w:rPr>
            </w:pPr>
            <w:r>
              <w:rPr>
                <w:sz w:val="20"/>
                <w:szCs w:val="20"/>
              </w:rPr>
              <w:t>#3: Ability to Plan Instruction</w:t>
            </w:r>
          </w:p>
          <w:p w14:paraId="32FDFCAC" w14:textId="77777777" w:rsidR="004E7DED" w:rsidRDefault="00EC0747" w:rsidP="006F6E10">
            <w:pPr>
              <w:rPr>
                <w:sz w:val="20"/>
                <w:szCs w:val="20"/>
              </w:rPr>
            </w:pPr>
            <w:r w:rsidRPr="00C178D2">
              <w:rPr>
                <w:sz w:val="20"/>
                <w:szCs w:val="20"/>
              </w:rPr>
              <w:lastRenderedPageBreak/>
              <w:t>#</w:t>
            </w:r>
            <w:r w:rsidR="004E7DED">
              <w:rPr>
                <w:sz w:val="20"/>
                <w:szCs w:val="20"/>
              </w:rPr>
              <w:t>4: Student Teaching</w:t>
            </w:r>
          </w:p>
          <w:p w14:paraId="0124C1FB" w14:textId="74753F53" w:rsidR="00EC0747" w:rsidRPr="00C178D2" w:rsidRDefault="004E7DED" w:rsidP="006F6E10">
            <w:pPr>
              <w:rPr>
                <w:sz w:val="20"/>
                <w:szCs w:val="20"/>
              </w:rPr>
            </w:pPr>
            <w:r>
              <w:rPr>
                <w:sz w:val="20"/>
                <w:szCs w:val="20"/>
              </w:rPr>
              <w:t>#6: Philosophy Statement</w:t>
            </w:r>
            <w:r w:rsidR="00EC0747" w:rsidRPr="00C178D2">
              <w:rPr>
                <w:sz w:val="20"/>
                <w:szCs w:val="20"/>
              </w:rPr>
              <w:t xml:space="preserve"> </w:t>
            </w:r>
          </w:p>
        </w:tc>
      </w:tr>
      <w:tr w:rsidR="00EC0747" w:rsidRPr="00C178D2" w14:paraId="3CBACFF1" w14:textId="77777777" w:rsidTr="0076602C">
        <w:tc>
          <w:tcPr>
            <w:tcW w:w="4765" w:type="dxa"/>
          </w:tcPr>
          <w:p w14:paraId="124F6EFD" w14:textId="22D4BAE5" w:rsidR="00EC0747" w:rsidRPr="00AC3D11" w:rsidRDefault="00EC0747" w:rsidP="00AC3D11">
            <w:pPr>
              <w:textAlignment w:val="baseline"/>
              <w:rPr>
                <w:color w:val="000000"/>
              </w:rPr>
            </w:pPr>
            <w:r w:rsidRPr="00C178D2">
              <w:rPr>
                <w:sz w:val="20"/>
                <w:szCs w:val="20"/>
              </w:rPr>
              <w:lastRenderedPageBreak/>
              <w:t xml:space="preserve">3. </w:t>
            </w:r>
            <w:r w:rsidR="00AC3D11" w:rsidRPr="00AC3D11">
              <w:rPr>
                <w:color w:val="303C42"/>
                <w:sz w:val="20"/>
                <w:szCs w:val="20"/>
              </w:rPr>
              <w:t>Plan supportive environments for ELLs, design and implement standards-base</w:t>
            </w:r>
            <w:r w:rsidR="00922DAB">
              <w:rPr>
                <w:color w:val="303C42"/>
                <w:sz w:val="20"/>
                <w:szCs w:val="20"/>
              </w:rPr>
              <w:t>d</w:t>
            </w:r>
            <w:r w:rsidR="00AC3D11" w:rsidRPr="00AC3D11">
              <w:rPr>
                <w:color w:val="000000"/>
                <w:sz w:val="20"/>
                <w:szCs w:val="20"/>
              </w:rPr>
              <w:t xml:space="preserve"> </w:t>
            </w:r>
            <w:r w:rsidR="00AC3D11" w:rsidRPr="00AC3D11">
              <w:rPr>
                <w:color w:val="303C42"/>
                <w:sz w:val="20"/>
                <w:szCs w:val="20"/>
              </w:rPr>
              <w:t>instruction using evidence-based, ELL-centered, interactive approaches. Candidates make</w:t>
            </w:r>
            <w:r w:rsidR="00AC3D11" w:rsidRPr="00AC3D11">
              <w:rPr>
                <w:color w:val="000000"/>
                <w:sz w:val="20"/>
                <w:szCs w:val="20"/>
              </w:rPr>
              <w:t xml:space="preserve"> </w:t>
            </w:r>
            <w:r w:rsidR="00AC3D11" w:rsidRPr="00AC3D11">
              <w:rPr>
                <w:color w:val="303C42"/>
                <w:sz w:val="20"/>
                <w:szCs w:val="20"/>
              </w:rPr>
              <w:t>instructional decisions by reflecting on individual ELL outcomes and adjusting instruction. Candidates demonstrate understanding of the role of collaboration with colleagues and communication with families to support their ELLs’ acquisition of English language and literacies in the content areas. Candidates use and adapt relevant resources, including appropriate technology, to effectively plan, develop, implement, and communicate about instruction for ELLs (TESOL 3).</w:t>
            </w:r>
            <w:r w:rsidR="00AC3D11" w:rsidRPr="00024A4B">
              <w:rPr>
                <w:color w:val="303C42"/>
              </w:rPr>
              <w:t xml:space="preserve"> </w:t>
            </w:r>
          </w:p>
        </w:tc>
        <w:tc>
          <w:tcPr>
            <w:tcW w:w="5161" w:type="dxa"/>
          </w:tcPr>
          <w:p w14:paraId="0C618D18" w14:textId="77777777" w:rsidR="00EC0747" w:rsidRPr="00C178D2" w:rsidRDefault="00EC0747" w:rsidP="006F6E10">
            <w:pPr>
              <w:rPr>
                <w:sz w:val="20"/>
                <w:szCs w:val="20"/>
              </w:rPr>
            </w:pPr>
            <w:r w:rsidRPr="00C178D2">
              <w:rPr>
                <w:sz w:val="20"/>
                <w:szCs w:val="20"/>
              </w:rPr>
              <w:t>Assessment:</w:t>
            </w:r>
          </w:p>
          <w:p w14:paraId="156E9981" w14:textId="77777777" w:rsidR="00EC0747" w:rsidRPr="00C178D2" w:rsidRDefault="00EC0747" w:rsidP="006F6E10">
            <w:pPr>
              <w:rPr>
                <w:sz w:val="20"/>
                <w:szCs w:val="20"/>
              </w:rPr>
            </w:pPr>
            <w:r w:rsidRPr="00C178D2">
              <w:rPr>
                <w:sz w:val="20"/>
                <w:szCs w:val="20"/>
              </w:rPr>
              <w:t xml:space="preserve">#1: Licensure assessment, or other content-based assessment </w:t>
            </w:r>
          </w:p>
          <w:p w14:paraId="4F039DCA" w14:textId="77777777" w:rsidR="00EC0747" w:rsidRPr="00C178D2" w:rsidRDefault="00EC0747" w:rsidP="006F6E10">
            <w:pPr>
              <w:rPr>
                <w:sz w:val="20"/>
                <w:szCs w:val="20"/>
              </w:rPr>
            </w:pPr>
            <w:r w:rsidRPr="00C178D2">
              <w:rPr>
                <w:sz w:val="20"/>
                <w:szCs w:val="20"/>
              </w:rPr>
              <w:t>#2: Content Knowledge</w:t>
            </w:r>
          </w:p>
          <w:p w14:paraId="58C92380" w14:textId="131DE479" w:rsidR="00EC0747" w:rsidRPr="00C178D2" w:rsidRDefault="00EC0747" w:rsidP="006F6E10">
            <w:pPr>
              <w:rPr>
                <w:sz w:val="20"/>
                <w:szCs w:val="20"/>
              </w:rPr>
            </w:pPr>
            <w:r w:rsidRPr="00C178D2">
              <w:rPr>
                <w:sz w:val="20"/>
                <w:szCs w:val="20"/>
              </w:rPr>
              <w:t xml:space="preserve">#3: </w:t>
            </w:r>
            <w:r w:rsidR="004E7DED">
              <w:rPr>
                <w:sz w:val="20"/>
                <w:szCs w:val="20"/>
              </w:rPr>
              <w:t>Ability to Plan Instruction</w:t>
            </w:r>
          </w:p>
          <w:p w14:paraId="0AAA2785" w14:textId="61F6012D" w:rsidR="00EC0747" w:rsidRPr="004E7DED" w:rsidRDefault="00EC0747" w:rsidP="006F6E10">
            <w:pPr>
              <w:rPr>
                <w:bCs/>
                <w:sz w:val="20"/>
                <w:szCs w:val="20"/>
              </w:rPr>
            </w:pPr>
            <w:r w:rsidRPr="00C178D2">
              <w:rPr>
                <w:sz w:val="20"/>
                <w:szCs w:val="20"/>
              </w:rPr>
              <w:t>#</w:t>
            </w:r>
            <w:r w:rsidR="004E7DED">
              <w:rPr>
                <w:sz w:val="20"/>
                <w:szCs w:val="20"/>
              </w:rPr>
              <w:t>4: Student Teaching</w:t>
            </w:r>
          </w:p>
        </w:tc>
      </w:tr>
      <w:tr w:rsidR="00EC0747" w:rsidRPr="00C178D2" w14:paraId="03218B9B" w14:textId="77777777" w:rsidTr="0076602C">
        <w:tc>
          <w:tcPr>
            <w:tcW w:w="4765" w:type="dxa"/>
          </w:tcPr>
          <w:p w14:paraId="47B396AB" w14:textId="591FB546" w:rsidR="00EC0747" w:rsidRPr="00C178D2" w:rsidRDefault="00EC0747" w:rsidP="00946890">
            <w:pPr>
              <w:pStyle w:val="NormalWeb"/>
              <w:rPr>
                <w:sz w:val="20"/>
                <w:szCs w:val="20"/>
              </w:rPr>
            </w:pPr>
            <w:r w:rsidRPr="00C178D2">
              <w:rPr>
                <w:sz w:val="20"/>
                <w:szCs w:val="20"/>
              </w:rPr>
              <w:t xml:space="preserve">4. </w:t>
            </w:r>
            <w:r w:rsidR="00946890" w:rsidRPr="00946890">
              <w:rPr>
                <w:sz w:val="20"/>
                <w:szCs w:val="20"/>
              </w:rPr>
              <w:t>Apply assessment principles to analyze and interpret multiple and varied assessments for ELLs, including classroom-based, standardized, and language proficiency assessments. Candidates understand how to analyze and interpret data to make informed decisions that promote English language and content learning. Candidates understand the importance of communicating results to other educators, ELLs, and ELLs’ families (TESOL 4).</w:t>
            </w:r>
          </w:p>
        </w:tc>
        <w:tc>
          <w:tcPr>
            <w:tcW w:w="5161" w:type="dxa"/>
          </w:tcPr>
          <w:p w14:paraId="4FA7FC15" w14:textId="77777777" w:rsidR="00EC0747" w:rsidRPr="00C178D2" w:rsidRDefault="00EC0747" w:rsidP="006F6E10">
            <w:pPr>
              <w:rPr>
                <w:sz w:val="20"/>
                <w:szCs w:val="20"/>
              </w:rPr>
            </w:pPr>
            <w:r w:rsidRPr="00C178D2">
              <w:rPr>
                <w:sz w:val="20"/>
                <w:szCs w:val="20"/>
              </w:rPr>
              <w:t>Assessment:</w:t>
            </w:r>
          </w:p>
          <w:p w14:paraId="7A7E82EC" w14:textId="77777777" w:rsidR="00EC0747" w:rsidRPr="00C178D2" w:rsidRDefault="00EC0747" w:rsidP="006F6E10">
            <w:pPr>
              <w:rPr>
                <w:sz w:val="20"/>
                <w:szCs w:val="20"/>
              </w:rPr>
            </w:pPr>
            <w:r w:rsidRPr="00C178D2">
              <w:rPr>
                <w:sz w:val="20"/>
                <w:szCs w:val="20"/>
              </w:rPr>
              <w:t xml:space="preserve">#1: Licensure assessment, or other content-based assessment </w:t>
            </w:r>
          </w:p>
          <w:p w14:paraId="62719B02" w14:textId="77777777" w:rsidR="00EC0747" w:rsidRPr="00C178D2" w:rsidRDefault="00EC0747" w:rsidP="006F6E10">
            <w:pPr>
              <w:rPr>
                <w:sz w:val="20"/>
                <w:szCs w:val="20"/>
              </w:rPr>
            </w:pPr>
            <w:r w:rsidRPr="00C178D2">
              <w:rPr>
                <w:sz w:val="20"/>
                <w:szCs w:val="20"/>
              </w:rPr>
              <w:t>#2: Content Knowledge</w:t>
            </w:r>
          </w:p>
          <w:p w14:paraId="3B547E8F" w14:textId="5FD2D789" w:rsidR="00EC0747" w:rsidRPr="00C178D2" w:rsidRDefault="00EC0747" w:rsidP="006F6E10">
            <w:pPr>
              <w:rPr>
                <w:sz w:val="20"/>
                <w:szCs w:val="20"/>
              </w:rPr>
            </w:pPr>
            <w:r w:rsidRPr="00C178D2">
              <w:rPr>
                <w:sz w:val="20"/>
                <w:szCs w:val="20"/>
              </w:rPr>
              <w:t>#</w:t>
            </w:r>
            <w:r w:rsidR="004E7DED">
              <w:rPr>
                <w:sz w:val="20"/>
                <w:szCs w:val="20"/>
              </w:rPr>
              <w:t>4: Student Teaching</w:t>
            </w:r>
          </w:p>
          <w:p w14:paraId="3387FDD4" w14:textId="22F178CB" w:rsidR="00EC0747" w:rsidRPr="00C178D2" w:rsidRDefault="00EC0747" w:rsidP="006F6E10">
            <w:pPr>
              <w:rPr>
                <w:sz w:val="20"/>
                <w:szCs w:val="20"/>
              </w:rPr>
            </w:pPr>
            <w:r w:rsidRPr="00C178D2">
              <w:rPr>
                <w:sz w:val="20"/>
                <w:szCs w:val="20"/>
              </w:rPr>
              <w:t>#</w:t>
            </w:r>
            <w:r w:rsidR="004E7DED">
              <w:rPr>
                <w:sz w:val="20"/>
                <w:szCs w:val="20"/>
              </w:rPr>
              <w:t>5</w:t>
            </w:r>
            <w:r w:rsidRPr="00C178D2">
              <w:rPr>
                <w:sz w:val="20"/>
                <w:szCs w:val="20"/>
              </w:rPr>
              <w:t xml:space="preserve">: </w:t>
            </w:r>
            <w:r w:rsidR="004E7DED">
              <w:rPr>
                <w:sz w:val="20"/>
                <w:szCs w:val="20"/>
              </w:rPr>
              <w:t>Effect on Student Learning</w:t>
            </w:r>
          </w:p>
        </w:tc>
      </w:tr>
      <w:tr w:rsidR="00EC0747" w:rsidRPr="00C178D2" w14:paraId="33453FB5" w14:textId="77777777" w:rsidTr="0076602C">
        <w:tc>
          <w:tcPr>
            <w:tcW w:w="4765" w:type="dxa"/>
          </w:tcPr>
          <w:p w14:paraId="399A955C" w14:textId="78840391" w:rsidR="00EC0747" w:rsidRPr="00C178D2" w:rsidRDefault="00EC0747" w:rsidP="004E7DED">
            <w:pPr>
              <w:pStyle w:val="NormalWeb"/>
              <w:rPr>
                <w:sz w:val="20"/>
                <w:szCs w:val="20"/>
              </w:rPr>
            </w:pPr>
            <w:r w:rsidRPr="00C178D2">
              <w:rPr>
                <w:sz w:val="20"/>
                <w:szCs w:val="20"/>
              </w:rPr>
              <w:t xml:space="preserve">5. </w:t>
            </w:r>
            <w:r w:rsidR="00946890" w:rsidRPr="00946890">
              <w:rPr>
                <w:sz w:val="20"/>
                <w:szCs w:val="20"/>
              </w:rPr>
              <w:t>Demonstrate professionalism and leadership by collaborating with other educators, knowing policies and legislation and the rights of ELLs, advocating for ELLs and their families, engaging in self-assessment and reflection, pursuing continuous professional development, and honing their teaching practice through supervised teaching (TESOL 5).</w:t>
            </w:r>
          </w:p>
        </w:tc>
        <w:tc>
          <w:tcPr>
            <w:tcW w:w="5161" w:type="dxa"/>
          </w:tcPr>
          <w:p w14:paraId="7A60BC04" w14:textId="77777777" w:rsidR="00EC0747" w:rsidRPr="00C178D2" w:rsidRDefault="00EC0747" w:rsidP="006F6E10">
            <w:pPr>
              <w:rPr>
                <w:sz w:val="20"/>
                <w:szCs w:val="20"/>
              </w:rPr>
            </w:pPr>
            <w:r w:rsidRPr="00C178D2">
              <w:rPr>
                <w:sz w:val="20"/>
                <w:szCs w:val="20"/>
              </w:rPr>
              <w:t>Assessment:</w:t>
            </w:r>
          </w:p>
          <w:p w14:paraId="6C19DE3C" w14:textId="77777777" w:rsidR="00EC0747" w:rsidRPr="00C178D2" w:rsidRDefault="00EC0747" w:rsidP="006F6E10">
            <w:pPr>
              <w:rPr>
                <w:sz w:val="20"/>
                <w:szCs w:val="20"/>
              </w:rPr>
            </w:pPr>
            <w:r w:rsidRPr="00C178D2">
              <w:rPr>
                <w:sz w:val="20"/>
                <w:szCs w:val="20"/>
              </w:rPr>
              <w:t xml:space="preserve">#1: Licensure assessment, or other content-based assessment </w:t>
            </w:r>
          </w:p>
          <w:p w14:paraId="376F9C82" w14:textId="77777777" w:rsidR="00EC0747" w:rsidRPr="00C178D2" w:rsidRDefault="00EC0747" w:rsidP="006F6E10">
            <w:pPr>
              <w:rPr>
                <w:sz w:val="20"/>
                <w:szCs w:val="20"/>
              </w:rPr>
            </w:pPr>
            <w:r w:rsidRPr="00C178D2">
              <w:rPr>
                <w:sz w:val="20"/>
                <w:szCs w:val="20"/>
              </w:rPr>
              <w:t>#2: Content Knowledge</w:t>
            </w:r>
          </w:p>
          <w:p w14:paraId="1111D3AE" w14:textId="51DF2464" w:rsidR="004E7DED" w:rsidRPr="00C178D2" w:rsidRDefault="00EC0747" w:rsidP="004E7DED">
            <w:pPr>
              <w:rPr>
                <w:sz w:val="20"/>
                <w:szCs w:val="20"/>
              </w:rPr>
            </w:pPr>
            <w:r w:rsidRPr="00C178D2">
              <w:rPr>
                <w:sz w:val="20"/>
                <w:szCs w:val="20"/>
              </w:rPr>
              <w:t>#</w:t>
            </w:r>
            <w:r w:rsidR="004E7DED">
              <w:rPr>
                <w:sz w:val="20"/>
                <w:szCs w:val="20"/>
              </w:rPr>
              <w:t>4</w:t>
            </w:r>
            <w:r w:rsidRPr="00C178D2">
              <w:rPr>
                <w:sz w:val="20"/>
                <w:szCs w:val="20"/>
              </w:rPr>
              <w:t xml:space="preserve">: </w:t>
            </w:r>
            <w:r w:rsidR="004E7DED">
              <w:rPr>
                <w:sz w:val="20"/>
                <w:szCs w:val="20"/>
              </w:rPr>
              <w:t>Student Teaching</w:t>
            </w:r>
          </w:p>
          <w:p w14:paraId="62D57DBA" w14:textId="324C4CF9" w:rsidR="00EC0747" w:rsidRPr="00C178D2" w:rsidRDefault="00EC0747" w:rsidP="006F6E10">
            <w:pPr>
              <w:rPr>
                <w:sz w:val="20"/>
                <w:szCs w:val="20"/>
              </w:rPr>
            </w:pPr>
          </w:p>
        </w:tc>
      </w:tr>
    </w:tbl>
    <w:p w14:paraId="6310EB8E" w14:textId="77777777" w:rsidR="00EC0747" w:rsidRDefault="00EC0747" w:rsidP="00EC0747">
      <w:pPr>
        <w:pStyle w:val="Heading2"/>
        <w:spacing w:before="240"/>
      </w:pPr>
      <w:r>
        <w:t>Process</w:t>
      </w:r>
    </w:p>
    <w:p w14:paraId="1B29830D" w14:textId="77777777" w:rsidR="00EC0747" w:rsidRPr="00B202B5" w:rsidRDefault="00EC0747" w:rsidP="00B202B5">
      <w:bookmarkStart w:id="19" w:name="_Toc177539385"/>
    </w:p>
    <w:p w14:paraId="5CA49C49" w14:textId="00BDE024" w:rsidR="00850AA8" w:rsidRPr="00B202B5" w:rsidRDefault="00EC0747" w:rsidP="00B202B5">
      <w:r w:rsidRPr="00B202B5">
        <w:t xml:space="preserve">The </w:t>
      </w:r>
      <w:r w:rsidR="00946890" w:rsidRPr="00B202B5">
        <w:t>GCLL</w:t>
      </w:r>
      <w:r w:rsidRPr="00B202B5">
        <w:t xml:space="preserve"> </w:t>
      </w:r>
      <w:r w:rsidR="00850AA8" w:rsidRPr="00B202B5">
        <w:t>P</w:t>
      </w:r>
      <w:r w:rsidRPr="00B202B5">
        <w:t xml:space="preserve">rogram </w:t>
      </w:r>
      <w:r w:rsidR="00850AA8" w:rsidRPr="00B202B5">
        <w:t xml:space="preserve">has earned National Recognition by the professional association Teachers of English to Speakers of Other Languages (TESOL) </w:t>
      </w:r>
      <w:r w:rsidR="004E7DED" w:rsidRPr="00B202B5">
        <w:t xml:space="preserve">until 2027 </w:t>
      </w:r>
      <w:r w:rsidR="00850AA8" w:rsidRPr="00B202B5">
        <w:t xml:space="preserve">and </w:t>
      </w:r>
      <w:r w:rsidR="004E7DED" w:rsidRPr="00B202B5">
        <w:t xml:space="preserve">is </w:t>
      </w:r>
      <w:r w:rsidR="00850AA8" w:rsidRPr="00B202B5">
        <w:t>accredit</w:t>
      </w:r>
      <w:r w:rsidR="004E7DED" w:rsidRPr="00B202B5">
        <w:t xml:space="preserve">ed </w:t>
      </w:r>
      <w:r w:rsidR="00850AA8" w:rsidRPr="00B202B5">
        <w:t>by the Council for the Accreditation of Educator Preparation (CAEP)</w:t>
      </w:r>
      <w:r w:rsidR="004E7DED" w:rsidRPr="00B202B5">
        <w:t xml:space="preserve"> until </w:t>
      </w:r>
      <w:r w:rsidR="008F1DF6" w:rsidRPr="00B202B5">
        <w:t>2026</w:t>
      </w:r>
      <w:r w:rsidR="00850AA8" w:rsidRPr="00B202B5">
        <w:t xml:space="preserve">. The Program’s </w:t>
      </w:r>
      <w:r w:rsidRPr="00B202B5">
        <w:t xml:space="preserve">process </w:t>
      </w:r>
      <w:r w:rsidR="00946890" w:rsidRPr="00B202B5">
        <w:t>of assessment includes Key Assessment data collected in</w:t>
      </w:r>
      <w:r w:rsidR="00D63E8F" w:rsidRPr="00B202B5">
        <w:t xml:space="preserve"> </w:t>
      </w:r>
      <w:r w:rsidR="00934EC9" w:rsidRPr="00B202B5">
        <w:t>a management system for analysis (</w:t>
      </w:r>
      <w:r w:rsidR="00850AA8" w:rsidRPr="00B202B5">
        <w:t>Watermark</w:t>
      </w:r>
      <w:r w:rsidR="00934EC9" w:rsidRPr="00B202B5">
        <w:t>)</w:t>
      </w:r>
      <w:r w:rsidR="00850AA8" w:rsidRPr="00B202B5">
        <w:t xml:space="preserve"> </w:t>
      </w:r>
      <w:r w:rsidR="00946890" w:rsidRPr="00B202B5">
        <w:t xml:space="preserve">and analyzed for candidate ability to meet expectations on standards set out by </w:t>
      </w:r>
      <w:r w:rsidR="00850AA8" w:rsidRPr="00B202B5">
        <w:t xml:space="preserve">TESOL. </w:t>
      </w:r>
      <w:r w:rsidR="00E828F8" w:rsidRPr="00B202B5">
        <w:t xml:space="preserve">Key Assessment data is triangulated internally with formative (beginning </w:t>
      </w:r>
      <w:r w:rsidR="00850AA8" w:rsidRPr="00B202B5">
        <w:t xml:space="preserve">and middle </w:t>
      </w:r>
      <w:r w:rsidR="00E828F8" w:rsidRPr="00B202B5">
        <w:t xml:space="preserve">of program) and summative data (end of program), with Employer and Alumni surveys, and in stakeholder meetings. Additional data is provided by </w:t>
      </w:r>
      <w:r w:rsidR="00850AA8" w:rsidRPr="00B202B5">
        <w:t>the SOE/</w:t>
      </w:r>
      <w:r w:rsidR="00E828F8" w:rsidRPr="00B202B5">
        <w:t>CAEP processes of continuous improvement</w:t>
      </w:r>
      <w:r w:rsidR="00850AA8" w:rsidRPr="00B202B5">
        <w:t xml:space="preserve">, e.g. </w:t>
      </w:r>
      <w:r w:rsidR="00E828F8" w:rsidRPr="00B202B5">
        <w:t xml:space="preserve">learning outcomes </w:t>
      </w:r>
      <w:r w:rsidR="00850AA8" w:rsidRPr="00B202B5">
        <w:t xml:space="preserve">that </w:t>
      </w:r>
      <w:r w:rsidR="00E828F8" w:rsidRPr="00B202B5">
        <w:t xml:space="preserve">are cross-aligned with CAEP measures and additional </w:t>
      </w:r>
      <w:r w:rsidR="004E7DED" w:rsidRPr="00B202B5">
        <w:t>s</w:t>
      </w:r>
      <w:r w:rsidR="00E828F8" w:rsidRPr="00B202B5">
        <w:t xml:space="preserve">tandards brought forth by the State of Alaska </w:t>
      </w:r>
      <w:r w:rsidR="004E7DED" w:rsidRPr="00B202B5">
        <w:t>[Alaska Educator Content and Performance Standards (AECPS)</w:t>
      </w:r>
      <w:r w:rsidR="00E828F8" w:rsidRPr="00B202B5">
        <w:t xml:space="preserve"> and Alaska Cultural Standar</w:t>
      </w:r>
      <w:r w:rsidR="00850AA8" w:rsidRPr="00B202B5">
        <w:t>d</w:t>
      </w:r>
      <w:r w:rsidR="00E828F8" w:rsidRPr="00B202B5">
        <w:t>s</w:t>
      </w:r>
      <w:r w:rsidR="004E7DED" w:rsidRPr="00B202B5">
        <w:t xml:space="preserve"> for Educators (ACSE</w:t>
      </w:r>
      <w:r w:rsidR="00E828F8" w:rsidRPr="00B202B5">
        <w:t>)</w:t>
      </w:r>
      <w:r w:rsidR="004E7DED" w:rsidRPr="00B202B5">
        <w:t>] as well as the Graduate Studies in Education and Leadership Standards (GSEL), and the International Society for Technology in Education Standards (ISTE)</w:t>
      </w:r>
      <w:r w:rsidR="00E828F8" w:rsidRPr="00B202B5">
        <w:t>.</w:t>
      </w:r>
      <w:r w:rsidR="00850AA8" w:rsidRPr="00B202B5">
        <w:t xml:space="preserve"> Additional cross-cutting themes for which we collect data include diversity and technology.</w:t>
      </w:r>
    </w:p>
    <w:p w14:paraId="62340F64" w14:textId="023F499F" w:rsidR="00850AA8" w:rsidRPr="00B202B5" w:rsidRDefault="00850AA8" w:rsidP="00B202B5"/>
    <w:p w14:paraId="50F80784" w14:textId="4AEC8374" w:rsidR="00850AA8" w:rsidRPr="00B202B5" w:rsidRDefault="00850AA8" w:rsidP="00B202B5">
      <w:r w:rsidRPr="00B202B5">
        <w:t>Key Assessments 1-6 each undergo a rigorous process of review for content validity, in which at least three reviewers provide feedback on the instructions, cross-alignment of standards, and rubrics</w:t>
      </w:r>
      <w:r w:rsidR="008F1DF6" w:rsidRPr="00B202B5">
        <w:t xml:space="preserve"> (which </w:t>
      </w:r>
      <w:r w:rsidR="008F1DF6" w:rsidRPr="00B202B5">
        <w:lastRenderedPageBreak/>
        <w:t>must meet CAEP-sufficiency standards)</w:t>
      </w:r>
      <w:r w:rsidRPr="00B202B5">
        <w:t>. In addition, ongoing technical studies are conducted to gather stakeholder perceptions of validity, reliability, and fairness (VRF)</w:t>
      </w:r>
      <w:r w:rsidR="006E173F" w:rsidRPr="00B202B5">
        <w:t xml:space="preserve"> of </w:t>
      </w:r>
      <w:r w:rsidR="002B2418" w:rsidRPr="00B202B5">
        <w:t xml:space="preserve">the  </w:t>
      </w:r>
      <w:r w:rsidR="006E173F" w:rsidRPr="00B202B5">
        <w:t>Key Assessments</w:t>
      </w:r>
      <w:r w:rsidRPr="00B202B5">
        <w:t>.</w:t>
      </w:r>
      <w:r w:rsidR="004E7DED" w:rsidRPr="00B202B5">
        <w:t xml:space="preserve"> </w:t>
      </w:r>
      <w:r w:rsidRPr="00B202B5">
        <w:t xml:space="preserve">VRF studies are written for purposes of accreditation reporting. </w:t>
      </w:r>
    </w:p>
    <w:p w14:paraId="70F99A79" w14:textId="32A80DDE" w:rsidR="00850AA8" w:rsidRPr="00B202B5" w:rsidRDefault="00850AA8" w:rsidP="00B202B5"/>
    <w:p w14:paraId="5E87AE29" w14:textId="02C442D8" w:rsidR="004E7DED" w:rsidRPr="00B202B5" w:rsidRDefault="00850AA8" w:rsidP="00B202B5">
      <w:r w:rsidRPr="00B202B5">
        <w:t xml:space="preserve">Faculty in the program, including adjunct faculty, engage in Interrater Reliability </w:t>
      </w:r>
      <w:r w:rsidR="004E7DED" w:rsidRPr="00B202B5">
        <w:t xml:space="preserve">(IRR) </w:t>
      </w:r>
      <w:r w:rsidRPr="00B202B5">
        <w:t>studies for every Key Assessment, in which exact and adjacent agreement scores are compiled, analyzed, and subsequently used to inform calibration training on scoring as well as possible revisions to Key Assessment instructions and/or rubrics.</w:t>
      </w:r>
      <w:r w:rsidR="004E7DED" w:rsidRPr="00B202B5">
        <w:t xml:space="preserve"> IRR studies are written for purposes of accreditation reporting. </w:t>
      </w:r>
    </w:p>
    <w:p w14:paraId="24C4A9D3" w14:textId="27B3C8BD" w:rsidR="00566069" w:rsidRPr="00B202B5" w:rsidRDefault="00566069" w:rsidP="00B202B5"/>
    <w:p w14:paraId="3728C045" w14:textId="601D9B8C" w:rsidR="00566069" w:rsidRPr="00B202B5" w:rsidRDefault="00566069" w:rsidP="00B202B5">
      <w:r w:rsidRPr="00B202B5">
        <w:t>Annual Employer and Alumni surveys are conducted in order to understand the perceptions of our program alumni and their employers on the effectiveness of our programs</w:t>
      </w:r>
      <w:r w:rsidR="004E7DED" w:rsidRPr="00B202B5">
        <w:t xml:space="preserve"> on completer practice</w:t>
      </w:r>
      <w:r w:rsidRPr="00B202B5">
        <w:t>.</w:t>
      </w:r>
      <w:r w:rsidR="004E7DED" w:rsidRPr="00B202B5">
        <w:t xml:space="preserve"> Surveys undergo content and VRF studies and are piloted before use.</w:t>
      </w:r>
    </w:p>
    <w:p w14:paraId="2250EB36" w14:textId="155C2CB8" w:rsidR="00566069" w:rsidRPr="00B202B5" w:rsidRDefault="00566069" w:rsidP="00B202B5"/>
    <w:p w14:paraId="277EF6EA" w14:textId="6E7BDAC5" w:rsidR="00566069" w:rsidRPr="00B202B5" w:rsidRDefault="00566069" w:rsidP="00B202B5">
      <w:r w:rsidRPr="00B202B5">
        <w:t>The program faculty meet at least once a year to review the collected data and engage in analysis. This meeting result</w:t>
      </w:r>
      <w:r w:rsidR="004E7DED" w:rsidRPr="00B202B5">
        <w:t>s</w:t>
      </w:r>
      <w:r w:rsidRPr="00B202B5">
        <w:t xml:space="preserve"> in recommendations for program changes designed to enhance performance related to the program’s outcomes. Data and recommendations are presented at annual stakeholder meetings to verify findings and engage in discussion about proposed revision to the program. The results of the data collection and analysis, including a discussion of the results, and a listing of the recommended program changes </w:t>
      </w:r>
      <w:r w:rsidR="004E7DED" w:rsidRPr="00B202B5">
        <w:t xml:space="preserve">are then </w:t>
      </w:r>
      <w:r w:rsidRPr="00B202B5">
        <w:t xml:space="preserve">forwarded to the Office of Academic Affairs by September 15th each year. A plan for implementing the recommended changes, including advertising the changes to all the program’s stakeholders, </w:t>
      </w:r>
      <w:r w:rsidR="004E7DED" w:rsidRPr="00B202B5">
        <w:t xml:space="preserve">is also </w:t>
      </w:r>
      <w:r w:rsidRPr="00B202B5">
        <w:t>completed at this meeting.</w:t>
      </w:r>
    </w:p>
    <w:bookmarkEnd w:id="19"/>
    <w:p w14:paraId="3F630ACF" w14:textId="77777777" w:rsidR="00EC0747" w:rsidRDefault="00EC0747" w:rsidP="00EC0747">
      <w:pPr>
        <w:pStyle w:val="BodyText3"/>
        <w:rPr>
          <w:rStyle w:val="HeadingBCharCharChar"/>
          <w:b w:val="0"/>
          <w:bCs w:val="0"/>
        </w:rPr>
      </w:pPr>
    </w:p>
    <w:p w14:paraId="55A2908C" w14:textId="77777777" w:rsidR="00EC0747" w:rsidRPr="00B77E68" w:rsidRDefault="00EC0747" w:rsidP="002847B5">
      <w:pPr>
        <w:pStyle w:val="Heading2"/>
        <w:rPr>
          <w:bCs/>
        </w:rPr>
      </w:pPr>
      <w:r w:rsidRPr="00B77E68">
        <w:t>Formulation of Recommendations for Program Improvement</w:t>
      </w:r>
    </w:p>
    <w:p w14:paraId="58903388" w14:textId="77777777" w:rsidR="00EC0747" w:rsidRDefault="00EC0747" w:rsidP="00EC0747">
      <w:pPr>
        <w:pStyle w:val="BodyText3"/>
        <w:rPr>
          <w:rStyle w:val="HeadingBCharCharChar"/>
          <w:b w:val="0"/>
          <w:bCs w:val="0"/>
        </w:rPr>
      </w:pPr>
    </w:p>
    <w:p w14:paraId="2F15DF18" w14:textId="6F809576" w:rsidR="00EC0747" w:rsidRDefault="00EC0747" w:rsidP="00566069">
      <w:pPr>
        <w:pStyle w:val="BodyText3"/>
        <w:jc w:val="left"/>
        <w:rPr>
          <w:rStyle w:val="HeadingBCharCharChar"/>
          <w:b w:val="0"/>
          <w:bCs w:val="0"/>
        </w:rPr>
      </w:pPr>
      <w:r>
        <w:rPr>
          <w:rStyle w:val="HeadingBCharCharChar"/>
          <w:b w:val="0"/>
          <w:bCs w:val="0"/>
        </w:rPr>
        <w:t>The proposed program changes may be any action or change in policy that the faculty deem necessary to improve performance relative to program outcomes.</w:t>
      </w:r>
      <w:r w:rsidR="00566069">
        <w:rPr>
          <w:rStyle w:val="HeadingBCharCharChar"/>
          <w:b w:val="0"/>
          <w:bCs w:val="0"/>
        </w:rPr>
        <w:t xml:space="preserve"> </w:t>
      </w:r>
      <w:r>
        <w:rPr>
          <w:rStyle w:val="HeadingBCharCharChar"/>
          <w:b w:val="0"/>
          <w:bCs w:val="0"/>
        </w:rPr>
        <w:t xml:space="preserve">Recommended changes should consider workload (faculty, staff, and students), budgetary, facilities, and other relevant constraints.  A few examples of changes made by programs at UAA include:  </w:t>
      </w:r>
    </w:p>
    <w:p w14:paraId="32F2BD6A" w14:textId="77777777" w:rsidR="00566069" w:rsidRDefault="00566069" w:rsidP="00566069">
      <w:pPr>
        <w:pStyle w:val="BodyText3"/>
        <w:jc w:val="left"/>
        <w:rPr>
          <w:rStyle w:val="HeadingBCharCharChar"/>
          <w:b w:val="0"/>
          <w:bCs w:val="0"/>
        </w:rPr>
      </w:pPr>
    </w:p>
    <w:p w14:paraId="751C6AC4" w14:textId="06DACA08" w:rsidR="00EC0747" w:rsidRDefault="00EC0747" w:rsidP="00566069">
      <w:pPr>
        <w:pStyle w:val="BodyText3"/>
        <w:numPr>
          <w:ilvl w:val="0"/>
          <w:numId w:val="11"/>
        </w:numPr>
        <w:jc w:val="left"/>
        <w:rPr>
          <w:rStyle w:val="HeadingBCharCharChar"/>
          <w:b w:val="0"/>
          <w:bCs w:val="0"/>
        </w:rPr>
      </w:pPr>
      <w:r>
        <w:rPr>
          <w:rStyle w:val="HeadingBCharCharChar"/>
          <w:b w:val="0"/>
          <w:bCs w:val="0"/>
        </w:rPr>
        <w:t xml:space="preserve">Changes in course content, </w:t>
      </w:r>
      <w:r w:rsidR="00566069">
        <w:rPr>
          <w:rStyle w:val="HeadingBCharCharChar"/>
          <w:b w:val="0"/>
          <w:bCs w:val="0"/>
        </w:rPr>
        <w:t xml:space="preserve">materials, </w:t>
      </w:r>
      <w:r>
        <w:rPr>
          <w:rStyle w:val="HeadingBCharCharChar"/>
          <w:b w:val="0"/>
          <w:bCs w:val="0"/>
        </w:rPr>
        <w:t>scheduling, sequencing, prerequisites, delivery methods,</w:t>
      </w:r>
      <w:r w:rsidR="00566069">
        <w:rPr>
          <w:rStyle w:val="HeadingBCharCharChar"/>
          <w:b w:val="0"/>
          <w:bCs w:val="0"/>
        </w:rPr>
        <w:t xml:space="preserve"> </w:t>
      </w:r>
      <w:r w:rsidR="002B2418">
        <w:rPr>
          <w:rStyle w:val="HeadingBCharCharChar"/>
          <w:b w:val="0"/>
          <w:bCs w:val="0"/>
        </w:rPr>
        <w:t xml:space="preserve">and </w:t>
      </w:r>
      <w:r w:rsidR="00566069">
        <w:rPr>
          <w:rStyle w:val="HeadingBCharCharChar"/>
          <w:b w:val="0"/>
          <w:bCs w:val="0"/>
        </w:rPr>
        <w:t>assessments</w:t>
      </w:r>
    </w:p>
    <w:p w14:paraId="5E38D33E" w14:textId="12855B91" w:rsidR="00EC0747" w:rsidRDefault="00EC0747" w:rsidP="00566069">
      <w:pPr>
        <w:pStyle w:val="BodyText3"/>
        <w:numPr>
          <w:ilvl w:val="0"/>
          <w:numId w:val="11"/>
        </w:numPr>
        <w:jc w:val="left"/>
        <w:rPr>
          <w:rStyle w:val="HeadingBCharCharChar"/>
          <w:b w:val="0"/>
          <w:bCs w:val="0"/>
        </w:rPr>
      </w:pPr>
      <w:r>
        <w:rPr>
          <w:rStyle w:val="HeadingBCharCharChar"/>
          <w:b w:val="0"/>
          <w:bCs w:val="0"/>
        </w:rPr>
        <w:t>Changes in faculty/staff allocations and assignments</w:t>
      </w:r>
    </w:p>
    <w:p w14:paraId="450CDD0C" w14:textId="2116882B" w:rsidR="00EC0747" w:rsidRDefault="00EC0747" w:rsidP="00566069">
      <w:pPr>
        <w:pStyle w:val="BodyText3"/>
        <w:numPr>
          <w:ilvl w:val="0"/>
          <w:numId w:val="11"/>
        </w:numPr>
        <w:jc w:val="left"/>
        <w:rPr>
          <w:rStyle w:val="HeadingBCharCharChar"/>
          <w:b w:val="0"/>
          <w:bCs w:val="0"/>
        </w:rPr>
      </w:pPr>
      <w:r>
        <w:rPr>
          <w:rStyle w:val="HeadingBCharCharChar"/>
          <w:b w:val="0"/>
          <w:bCs w:val="0"/>
        </w:rPr>
        <w:t>Changes in advising methods and requirements</w:t>
      </w:r>
    </w:p>
    <w:p w14:paraId="2A4D2DE6" w14:textId="416CD2AB" w:rsidR="00D91413" w:rsidRPr="00F91B0D" w:rsidRDefault="00566069" w:rsidP="004C7E08">
      <w:pPr>
        <w:pStyle w:val="BodyText3"/>
        <w:numPr>
          <w:ilvl w:val="0"/>
          <w:numId w:val="11"/>
        </w:numPr>
        <w:jc w:val="left"/>
        <w:rPr>
          <w:bCs w:val="0"/>
          <w:lang w:val="en-US" w:eastAsia="en-US"/>
        </w:rPr>
      </w:pPr>
      <w:r>
        <w:rPr>
          <w:rStyle w:val="HeadingBCharCharChar"/>
          <w:b w:val="0"/>
          <w:bCs w:val="0"/>
        </w:rPr>
        <w:t>Procurement of grant funds to support student tuition</w:t>
      </w:r>
      <w:r w:rsidR="00F91B0D">
        <w:rPr>
          <w:rStyle w:val="HeadingBCharCharChar"/>
          <w:b w:val="0"/>
          <w:bCs w:val="0"/>
        </w:rPr>
        <w:t>.</w:t>
      </w:r>
    </w:p>
    <w:sectPr w:rsidR="00D91413" w:rsidRPr="00F91B0D" w:rsidSect="00B10748">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CB964" w14:textId="77777777" w:rsidR="00791B72" w:rsidRDefault="00791B72">
      <w:r>
        <w:separator/>
      </w:r>
    </w:p>
  </w:endnote>
  <w:endnote w:type="continuationSeparator" w:id="0">
    <w:p w14:paraId="5ED4FED1" w14:textId="77777777" w:rsidR="00791B72" w:rsidRDefault="0079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9A24B" w14:textId="63393D49" w:rsidR="00B10748" w:rsidRDefault="00024A4B" w:rsidP="002600D0">
    <w:pPr>
      <w:pStyle w:val="Footer"/>
      <w:tabs>
        <w:tab w:val="clear" w:pos="4320"/>
        <w:tab w:val="clear" w:pos="8640"/>
      </w:tabs>
      <w:jc w:val="center"/>
      <w:rPr>
        <w:sz w:val="18"/>
        <w:szCs w:val="18"/>
      </w:rPr>
    </w:pPr>
    <w:r w:rsidRPr="00024A4B">
      <w:rPr>
        <w:color w:val="000000" w:themeColor="text1"/>
        <w:sz w:val="18"/>
        <w:szCs w:val="18"/>
      </w:rPr>
      <w:t>Graduate Certificate in Language and Literacy Education</w:t>
    </w:r>
    <w:r w:rsidR="00B10748">
      <w:rPr>
        <w:sz w:val="18"/>
        <w:szCs w:val="18"/>
      </w:rPr>
      <w:tab/>
      <w:t xml:space="preserve">Page </w:t>
    </w:r>
    <w:r w:rsidR="002600D0">
      <w:rPr>
        <w:noProof/>
        <w:sz w:val="18"/>
        <w:szCs w:val="18"/>
      </w:rPr>
      <w:t>2</w:t>
    </w:r>
    <w:r w:rsidR="00B10748">
      <w:rPr>
        <w:sz w:val="18"/>
        <w:szCs w:val="18"/>
      </w:rPr>
      <w:t xml:space="preserve"> of </w:t>
    </w:r>
    <w:r w:rsidR="002600D0">
      <w:rPr>
        <w:noProof/>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195D8" w14:textId="77777777" w:rsidR="00791B72" w:rsidRDefault="00791B72">
      <w:r>
        <w:separator/>
      </w:r>
    </w:p>
  </w:footnote>
  <w:footnote w:type="continuationSeparator" w:id="0">
    <w:p w14:paraId="7873375D" w14:textId="77777777" w:rsidR="00791B72" w:rsidRDefault="0079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182A"/>
    <w:multiLevelType w:val="multilevel"/>
    <w:tmpl w:val="84C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B3F64"/>
    <w:multiLevelType w:val="multilevel"/>
    <w:tmpl w:val="5694F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A042C"/>
    <w:multiLevelType w:val="multilevel"/>
    <w:tmpl w:val="8B7C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91CF1"/>
    <w:multiLevelType w:val="hybridMultilevel"/>
    <w:tmpl w:val="85104D1E"/>
    <w:lvl w:ilvl="0" w:tplc="1F4CF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64AAA"/>
    <w:multiLevelType w:val="hybridMultilevel"/>
    <w:tmpl w:val="40AC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3E700865"/>
    <w:multiLevelType w:val="hybridMultilevel"/>
    <w:tmpl w:val="A72A7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273DD"/>
    <w:multiLevelType w:val="hybridMultilevel"/>
    <w:tmpl w:val="80F8488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5"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7" w15:restartNumberingAfterBreak="0">
    <w:nsid w:val="4F390CFE"/>
    <w:multiLevelType w:val="hybridMultilevel"/>
    <w:tmpl w:val="27F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9"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449318">
    <w:abstractNumId w:val="29"/>
  </w:num>
  <w:num w:numId="2" w16cid:durableId="258489146">
    <w:abstractNumId w:val="32"/>
  </w:num>
  <w:num w:numId="3" w16cid:durableId="638847508">
    <w:abstractNumId w:val="11"/>
  </w:num>
  <w:num w:numId="4" w16cid:durableId="328557322">
    <w:abstractNumId w:val="20"/>
  </w:num>
  <w:num w:numId="5" w16cid:durableId="1065034366">
    <w:abstractNumId w:val="1"/>
  </w:num>
  <w:num w:numId="6" w16cid:durableId="1980568881">
    <w:abstractNumId w:val="19"/>
  </w:num>
  <w:num w:numId="7" w16cid:durableId="1178957617">
    <w:abstractNumId w:val="9"/>
  </w:num>
  <w:num w:numId="8" w16cid:durableId="1715426795">
    <w:abstractNumId w:val="10"/>
  </w:num>
  <w:num w:numId="9" w16cid:durableId="878324240">
    <w:abstractNumId w:val="13"/>
  </w:num>
  <w:num w:numId="10" w16cid:durableId="181866393">
    <w:abstractNumId w:val="12"/>
  </w:num>
  <w:num w:numId="11" w16cid:durableId="473719052">
    <w:abstractNumId w:val="5"/>
  </w:num>
  <w:num w:numId="12" w16cid:durableId="1804035807">
    <w:abstractNumId w:val="30"/>
  </w:num>
  <w:num w:numId="13" w16cid:durableId="1442651891">
    <w:abstractNumId w:val="26"/>
  </w:num>
  <w:num w:numId="14" w16cid:durableId="100683516">
    <w:abstractNumId w:val="0"/>
  </w:num>
  <w:num w:numId="15" w16cid:durableId="1453590613">
    <w:abstractNumId w:val="22"/>
  </w:num>
  <w:num w:numId="16" w16cid:durableId="1663697231">
    <w:abstractNumId w:val="18"/>
  </w:num>
  <w:num w:numId="17" w16cid:durableId="1895238582">
    <w:abstractNumId w:val="8"/>
  </w:num>
  <w:num w:numId="18" w16cid:durableId="707490320">
    <w:abstractNumId w:val="31"/>
  </w:num>
  <w:num w:numId="19" w16cid:durableId="670909069">
    <w:abstractNumId w:val="34"/>
  </w:num>
  <w:num w:numId="20" w16cid:durableId="1929843067">
    <w:abstractNumId w:val="7"/>
  </w:num>
  <w:num w:numId="21" w16cid:durableId="1130856096">
    <w:abstractNumId w:val="25"/>
  </w:num>
  <w:num w:numId="22" w16cid:durableId="427628374">
    <w:abstractNumId w:val="23"/>
  </w:num>
  <w:num w:numId="23" w16cid:durableId="93525313">
    <w:abstractNumId w:val="28"/>
  </w:num>
  <w:num w:numId="24" w16cid:durableId="717970293">
    <w:abstractNumId w:val="3"/>
  </w:num>
  <w:num w:numId="25" w16cid:durableId="588537970">
    <w:abstractNumId w:val="6"/>
  </w:num>
  <w:num w:numId="26" w16cid:durableId="52001272">
    <w:abstractNumId w:val="14"/>
  </w:num>
  <w:num w:numId="27" w16cid:durableId="1990086942">
    <w:abstractNumId w:val="33"/>
  </w:num>
  <w:num w:numId="28" w16cid:durableId="1914926999">
    <w:abstractNumId w:val="2"/>
  </w:num>
  <w:num w:numId="29" w16cid:durableId="2090687583">
    <w:abstractNumId w:val="4"/>
  </w:num>
  <w:num w:numId="30" w16cid:durableId="110175362">
    <w:abstractNumId w:val="24"/>
  </w:num>
  <w:num w:numId="31" w16cid:durableId="43602462">
    <w:abstractNumId w:val="27"/>
  </w:num>
  <w:num w:numId="32" w16cid:durableId="1795517290">
    <w:abstractNumId w:val="21"/>
  </w:num>
  <w:num w:numId="33" w16cid:durableId="1362171752">
    <w:abstractNumId w:val="17"/>
  </w:num>
  <w:num w:numId="34" w16cid:durableId="1972399965">
    <w:abstractNumId w:val="15"/>
    <w:lvlOverride w:ilvl="0">
      <w:lvl w:ilvl="0">
        <w:numFmt w:val="upperLetter"/>
        <w:lvlText w:val="%1."/>
        <w:lvlJc w:val="left"/>
      </w:lvl>
    </w:lvlOverride>
  </w:num>
  <w:num w:numId="35" w16cid:durableId="1810123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24A4B"/>
    <w:rsid w:val="000553EF"/>
    <w:rsid w:val="00072B5D"/>
    <w:rsid w:val="00107214"/>
    <w:rsid w:val="001252E7"/>
    <w:rsid w:val="001358B9"/>
    <w:rsid w:val="00146AF8"/>
    <w:rsid w:val="001718F2"/>
    <w:rsid w:val="00195B3A"/>
    <w:rsid w:val="0025124F"/>
    <w:rsid w:val="00252862"/>
    <w:rsid w:val="00256B0A"/>
    <w:rsid w:val="002600D0"/>
    <w:rsid w:val="002740EA"/>
    <w:rsid w:val="002847B5"/>
    <w:rsid w:val="002B2418"/>
    <w:rsid w:val="002D0648"/>
    <w:rsid w:val="00386FD5"/>
    <w:rsid w:val="003C4EA7"/>
    <w:rsid w:val="004B2282"/>
    <w:rsid w:val="004C7E08"/>
    <w:rsid w:val="004E7DED"/>
    <w:rsid w:val="005208E5"/>
    <w:rsid w:val="00566069"/>
    <w:rsid w:val="006670F2"/>
    <w:rsid w:val="006E173F"/>
    <w:rsid w:val="007024D7"/>
    <w:rsid w:val="00726144"/>
    <w:rsid w:val="0076602C"/>
    <w:rsid w:val="00791B72"/>
    <w:rsid w:val="007C32C6"/>
    <w:rsid w:val="00850AA8"/>
    <w:rsid w:val="00852E03"/>
    <w:rsid w:val="00862AB0"/>
    <w:rsid w:val="00894F53"/>
    <w:rsid w:val="008F1DF6"/>
    <w:rsid w:val="00906B0F"/>
    <w:rsid w:val="00922DAB"/>
    <w:rsid w:val="00934EC9"/>
    <w:rsid w:val="00946890"/>
    <w:rsid w:val="00A17E3F"/>
    <w:rsid w:val="00A32B0C"/>
    <w:rsid w:val="00A6157D"/>
    <w:rsid w:val="00A76E1C"/>
    <w:rsid w:val="00AC3D11"/>
    <w:rsid w:val="00AD7FFB"/>
    <w:rsid w:val="00B078B7"/>
    <w:rsid w:val="00B10748"/>
    <w:rsid w:val="00B202B5"/>
    <w:rsid w:val="00BC3854"/>
    <w:rsid w:val="00C12BC5"/>
    <w:rsid w:val="00C1311D"/>
    <w:rsid w:val="00C4592F"/>
    <w:rsid w:val="00C61CFE"/>
    <w:rsid w:val="00C868C6"/>
    <w:rsid w:val="00C90A49"/>
    <w:rsid w:val="00C9743C"/>
    <w:rsid w:val="00D20BA4"/>
    <w:rsid w:val="00D63E8F"/>
    <w:rsid w:val="00D91413"/>
    <w:rsid w:val="00DC7D83"/>
    <w:rsid w:val="00E636A6"/>
    <w:rsid w:val="00E8144E"/>
    <w:rsid w:val="00E828F8"/>
    <w:rsid w:val="00EC0747"/>
    <w:rsid w:val="00F20FF3"/>
    <w:rsid w:val="00F22FB9"/>
    <w:rsid w:val="00F273CA"/>
    <w:rsid w:val="00F328F2"/>
    <w:rsid w:val="00F4173F"/>
    <w:rsid w:val="00F91B0D"/>
    <w:rsid w:val="00F9256E"/>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D7008"/>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2847B5"/>
    <w:pPr>
      <w:jc w:val="center"/>
      <w:outlineLvl w:val="0"/>
    </w:pPr>
    <w:rPr>
      <w:b/>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customStyle="1" w:styleId="second-levelsecond-level-numbered-list">
    <w:name w:val="second-level_second-level-numbered-list"/>
    <w:basedOn w:val="Normal"/>
    <w:rsid w:val="00024A4B"/>
    <w:pPr>
      <w:spacing w:before="100" w:beforeAutospacing="1" w:after="100" w:afterAutospacing="1"/>
    </w:pPr>
  </w:style>
  <w:style w:type="character" w:customStyle="1" w:styleId="diffadded">
    <w:name w:val="diffadded"/>
    <w:basedOn w:val="DefaultParagraphFont"/>
    <w:rsid w:val="00024A4B"/>
  </w:style>
  <w:style w:type="character" w:customStyle="1" w:styleId="diffsugar">
    <w:name w:val="diffsugar"/>
    <w:basedOn w:val="DefaultParagraphFont"/>
    <w:rsid w:val="00024A4B"/>
  </w:style>
  <w:style w:type="character" w:customStyle="1" w:styleId="diffdeleted">
    <w:name w:val="diffdeleted"/>
    <w:basedOn w:val="DefaultParagraphFont"/>
    <w:rsid w:val="00024A4B"/>
  </w:style>
  <w:style w:type="paragraph" w:customStyle="1" w:styleId="second-levelsecond-level-bulleted-list">
    <w:name w:val="second-level_second-level-bulleted-list"/>
    <w:basedOn w:val="Normal"/>
    <w:rsid w:val="00024A4B"/>
    <w:pPr>
      <w:spacing w:before="100" w:beforeAutospacing="1" w:after="100" w:afterAutospacing="1"/>
    </w:pPr>
  </w:style>
  <w:style w:type="paragraph" w:customStyle="1" w:styleId="p1">
    <w:name w:val="p1"/>
    <w:basedOn w:val="Normal"/>
    <w:rsid w:val="00024A4B"/>
    <w:pPr>
      <w:spacing w:before="100" w:beforeAutospacing="1" w:after="100" w:afterAutospacing="1"/>
    </w:pPr>
  </w:style>
  <w:style w:type="paragraph" w:styleId="ListParagraph">
    <w:name w:val="List Paragraph"/>
    <w:basedOn w:val="Normal"/>
    <w:uiPriority w:val="34"/>
    <w:qFormat/>
    <w:rsid w:val="00024A4B"/>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C0747"/>
    <w:pPr>
      <w:spacing w:before="100" w:beforeAutospacing="1" w:after="100" w:afterAutospacing="1"/>
    </w:pPr>
  </w:style>
  <w:style w:type="table" w:styleId="TableGrid">
    <w:name w:val="Table Grid"/>
    <w:basedOn w:val="TableNormal"/>
    <w:rsid w:val="00EC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661611">
      <w:bodyDiv w:val="1"/>
      <w:marLeft w:val="0"/>
      <w:marRight w:val="0"/>
      <w:marTop w:val="0"/>
      <w:marBottom w:val="0"/>
      <w:divBdr>
        <w:top w:val="none" w:sz="0" w:space="0" w:color="auto"/>
        <w:left w:val="none" w:sz="0" w:space="0" w:color="auto"/>
        <w:bottom w:val="none" w:sz="0" w:space="0" w:color="auto"/>
        <w:right w:val="none" w:sz="0" w:space="0" w:color="auto"/>
      </w:divBdr>
    </w:div>
    <w:div w:id="832455669">
      <w:bodyDiv w:val="1"/>
      <w:marLeft w:val="0"/>
      <w:marRight w:val="0"/>
      <w:marTop w:val="0"/>
      <w:marBottom w:val="0"/>
      <w:divBdr>
        <w:top w:val="none" w:sz="0" w:space="0" w:color="auto"/>
        <w:left w:val="none" w:sz="0" w:space="0" w:color="auto"/>
        <w:bottom w:val="none" w:sz="0" w:space="0" w:color="auto"/>
        <w:right w:val="none" w:sz="0" w:space="0" w:color="auto"/>
      </w:divBdr>
    </w:div>
    <w:div w:id="1151675470">
      <w:bodyDiv w:val="1"/>
      <w:marLeft w:val="0"/>
      <w:marRight w:val="0"/>
      <w:marTop w:val="0"/>
      <w:marBottom w:val="0"/>
      <w:divBdr>
        <w:top w:val="none" w:sz="0" w:space="0" w:color="auto"/>
        <w:left w:val="none" w:sz="0" w:space="0" w:color="auto"/>
        <w:bottom w:val="none" w:sz="0" w:space="0" w:color="auto"/>
        <w:right w:val="none" w:sz="0" w:space="0" w:color="auto"/>
      </w:divBdr>
    </w:div>
    <w:div w:id="1551458779">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641492785">
      <w:bodyDiv w:val="1"/>
      <w:marLeft w:val="0"/>
      <w:marRight w:val="0"/>
      <w:marTop w:val="0"/>
      <w:marBottom w:val="0"/>
      <w:divBdr>
        <w:top w:val="none" w:sz="0" w:space="0" w:color="auto"/>
        <w:left w:val="none" w:sz="0" w:space="0" w:color="auto"/>
        <w:bottom w:val="none" w:sz="0" w:space="0" w:color="auto"/>
        <w:right w:val="none" w:sz="0" w:space="0" w:color="auto"/>
      </w:divBdr>
    </w:div>
    <w:div w:id="2000696706">
      <w:bodyDiv w:val="1"/>
      <w:marLeft w:val="0"/>
      <w:marRight w:val="0"/>
      <w:marTop w:val="0"/>
      <w:marBottom w:val="0"/>
      <w:divBdr>
        <w:top w:val="none" w:sz="0" w:space="0" w:color="auto"/>
        <w:left w:val="none" w:sz="0" w:space="0" w:color="auto"/>
        <w:bottom w:val="none" w:sz="0" w:space="0" w:color="auto"/>
        <w:right w:val="none" w:sz="0" w:space="0" w:color="auto"/>
      </w:divBdr>
    </w:div>
    <w:div w:id="20143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F86BE-0A06-4DC3-9961-9D4B13EF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957A1-8C1A-4759-9893-49B7690B1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1838</Words>
  <Characters>11844</Characters>
  <Application>Microsoft Office Word</Application>
  <DocSecurity>0</DocSecurity>
  <Lines>408</Lines>
  <Paragraphs>127</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13555</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9</cp:revision>
  <cp:lastPrinted>2013-05-01T22:28:00Z</cp:lastPrinted>
  <dcterms:created xsi:type="dcterms:W3CDTF">2022-04-08T20:25:00Z</dcterms:created>
  <dcterms:modified xsi:type="dcterms:W3CDTF">2025-04-07T22:57:00Z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49040a5e3516c51580330d2f11ab33742621295e4b89e48570b62f46d64f6ed6</vt:lpwstr>
  </property>
</Properties>
</file>