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6EC98" w14:textId="77777777" w:rsidR="009A2C71" w:rsidRDefault="009A2C71" w:rsidP="009A2C71">
      <w:pPr>
        <w:jc w:val="center"/>
        <w:rPr>
          <w:b/>
          <w:sz w:val="28"/>
          <w:szCs w:val="28"/>
        </w:rPr>
      </w:pPr>
      <w:r w:rsidRPr="00A76E1C">
        <w:rPr>
          <w:b/>
          <w:noProof/>
        </w:rPr>
        <w:drawing>
          <wp:inline distT="0" distB="0" distL="0" distR="0" wp14:anchorId="361FCB45" wp14:editId="7CC5EA35">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26EF7855" w14:textId="77777777" w:rsidR="009A2C71" w:rsidRPr="00F22654" w:rsidRDefault="009A2C71" w:rsidP="009A2C71">
      <w:pPr>
        <w:spacing w:line="360" w:lineRule="auto"/>
        <w:jc w:val="center"/>
        <w:rPr>
          <w:b/>
          <w:sz w:val="60"/>
          <w:szCs w:val="60"/>
        </w:rPr>
      </w:pPr>
    </w:p>
    <w:p w14:paraId="4BE82B0C" w14:textId="77777777" w:rsidR="009A2C71" w:rsidRPr="00F22654" w:rsidRDefault="009A2C71" w:rsidP="009A2C71">
      <w:pPr>
        <w:spacing w:line="360" w:lineRule="auto"/>
        <w:jc w:val="center"/>
        <w:rPr>
          <w:b/>
          <w:sz w:val="60"/>
          <w:szCs w:val="60"/>
        </w:rPr>
      </w:pPr>
    </w:p>
    <w:p w14:paraId="24C840DB" w14:textId="77777777" w:rsidR="009A2C71" w:rsidRPr="00112760" w:rsidRDefault="009A2C71" w:rsidP="009A2C71">
      <w:pPr>
        <w:jc w:val="center"/>
        <w:rPr>
          <w:b/>
          <w:sz w:val="56"/>
          <w:szCs w:val="56"/>
        </w:rPr>
      </w:pPr>
      <w:r w:rsidRPr="00112760">
        <w:rPr>
          <w:b/>
          <w:sz w:val="56"/>
          <w:szCs w:val="56"/>
        </w:rPr>
        <w:t>Academic Assessment Plan</w:t>
      </w:r>
    </w:p>
    <w:p w14:paraId="316CCEB4" w14:textId="77777777" w:rsidR="009A2C71" w:rsidRDefault="009A2C71" w:rsidP="009A2C71">
      <w:pPr>
        <w:spacing w:line="276" w:lineRule="auto"/>
        <w:jc w:val="center"/>
        <w:rPr>
          <w:b/>
          <w:sz w:val="56"/>
          <w:szCs w:val="56"/>
        </w:rPr>
      </w:pPr>
    </w:p>
    <w:p w14:paraId="36428B42" w14:textId="77777777" w:rsidR="009A2C71" w:rsidRDefault="009A2C71" w:rsidP="009A2C71">
      <w:pPr>
        <w:spacing w:line="276" w:lineRule="auto"/>
        <w:jc w:val="center"/>
        <w:rPr>
          <w:b/>
          <w:sz w:val="56"/>
          <w:szCs w:val="56"/>
        </w:rPr>
      </w:pPr>
    </w:p>
    <w:p w14:paraId="31E541D6" w14:textId="1D931ADF" w:rsidR="009A2C71" w:rsidRPr="00112760" w:rsidRDefault="009A2C71" w:rsidP="009A2C71">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Business and Public Policy</w:t>
      </w:r>
    </w:p>
    <w:p w14:paraId="431B86EF" w14:textId="77777777" w:rsidR="009A2C71" w:rsidRPr="00112760" w:rsidRDefault="009A2C71" w:rsidP="009A2C71">
      <w:pPr>
        <w:ind w:left="1440"/>
        <w:rPr>
          <w:sz w:val="36"/>
          <w:szCs w:val="36"/>
        </w:rPr>
      </w:pPr>
    </w:p>
    <w:p w14:paraId="121450A6" w14:textId="10587433" w:rsidR="009A2C71" w:rsidRDefault="009A2C71" w:rsidP="009A2C71">
      <w:pPr>
        <w:ind w:left="1440"/>
        <w:rPr>
          <w:sz w:val="36"/>
          <w:szCs w:val="36"/>
        </w:rPr>
      </w:pPr>
      <w:r w:rsidRPr="00112760">
        <w:rPr>
          <w:b/>
          <w:sz w:val="36"/>
          <w:szCs w:val="36"/>
        </w:rPr>
        <w:t xml:space="preserve">Program(s): </w:t>
      </w:r>
      <w:r w:rsidRPr="00112760">
        <w:rPr>
          <w:b/>
          <w:sz w:val="36"/>
          <w:szCs w:val="36"/>
        </w:rPr>
        <w:tab/>
      </w:r>
      <w:r>
        <w:rPr>
          <w:sz w:val="36"/>
          <w:szCs w:val="36"/>
        </w:rPr>
        <w:t>M</w:t>
      </w:r>
      <w:r w:rsidR="00CF3621">
        <w:rPr>
          <w:sz w:val="36"/>
          <w:szCs w:val="36"/>
        </w:rPr>
        <w:t>PA Public Administration</w:t>
      </w:r>
      <w:bookmarkStart w:id="0" w:name="_GoBack"/>
      <w:bookmarkEnd w:id="0"/>
    </w:p>
    <w:p w14:paraId="4110413A" w14:textId="2D702B61" w:rsidR="009A2C71" w:rsidRPr="00112760" w:rsidRDefault="009A2C71" w:rsidP="009A2C71">
      <w:pPr>
        <w:ind w:left="1440"/>
        <w:rPr>
          <w:sz w:val="36"/>
          <w:szCs w:val="36"/>
        </w:rPr>
      </w:pPr>
      <w:r w:rsidRPr="00CB0EEB">
        <w:rPr>
          <w:sz w:val="36"/>
          <w:szCs w:val="36"/>
        </w:rPr>
        <w:tab/>
      </w:r>
      <w:r w:rsidRPr="00CB0EEB">
        <w:rPr>
          <w:sz w:val="36"/>
          <w:szCs w:val="36"/>
        </w:rPr>
        <w:tab/>
      </w:r>
      <w:r w:rsidRPr="00CB0EEB">
        <w:rPr>
          <w:sz w:val="36"/>
          <w:szCs w:val="36"/>
        </w:rPr>
        <w:tab/>
      </w:r>
    </w:p>
    <w:p w14:paraId="2A413CF7" w14:textId="05B70731" w:rsidR="00B64E3D" w:rsidRPr="00D87B18" w:rsidRDefault="009A2C71" w:rsidP="009A2C71">
      <w:pPr>
        <w:ind w:left="1440"/>
        <w:sectPr w:rsidR="00B64E3D" w:rsidRPr="00D87B18" w:rsidSect="00194DDA">
          <w:footerReference w:type="default" r:id="rId11"/>
          <w:pgSz w:w="12240" w:h="15840" w:code="1"/>
          <w:pgMar w:top="0" w:right="1440" w:bottom="1440" w:left="1440" w:header="720" w:footer="720" w:gutter="0"/>
          <w:cols w:space="720"/>
          <w:vAlign w:val="center"/>
          <w:docGrid w:linePitch="360"/>
        </w:sectPr>
      </w:pPr>
      <w:r w:rsidRPr="00112760">
        <w:rPr>
          <w:b/>
          <w:sz w:val="36"/>
          <w:szCs w:val="36"/>
        </w:rPr>
        <w:t>Reviewed:</w:t>
      </w:r>
      <w:r w:rsidRPr="00112760">
        <w:rPr>
          <w:sz w:val="36"/>
          <w:szCs w:val="36"/>
        </w:rPr>
        <w:t xml:space="preserve"> </w:t>
      </w:r>
      <w:r w:rsidRPr="00112760">
        <w:rPr>
          <w:sz w:val="36"/>
          <w:szCs w:val="36"/>
        </w:rPr>
        <w:tab/>
      </w:r>
      <w:bookmarkStart w:id="1" w:name="_Hlk191897565"/>
      <w:r w:rsidRPr="00112760">
        <w:rPr>
          <w:sz w:val="36"/>
          <w:szCs w:val="36"/>
        </w:rPr>
        <w:t xml:space="preserve">Spring </w:t>
      </w:r>
      <w:bookmarkEnd w:id="1"/>
      <w:r>
        <w:rPr>
          <w:sz w:val="36"/>
          <w:szCs w:val="36"/>
        </w:rPr>
        <w:t>2024</w:t>
      </w:r>
    </w:p>
    <w:p w14:paraId="23CC926B" w14:textId="77777777" w:rsidR="00924D52" w:rsidRPr="00D87B18" w:rsidRDefault="00672468">
      <w:pPr>
        <w:jc w:val="center"/>
        <w:rPr>
          <w:b/>
          <w:sz w:val="28"/>
          <w:szCs w:val="40"/>
        </w:rPr>
      </w:pPr>
      <w:r w:rsidRPr="00D87B18">
        <w:rPr>
          <w:rFonts w:ascii="Times" w:hAnsi="Times"/>
          <w:b/>
          <w:sz w:val="28"/>
          <w:szCs w:val="40"/>
        </w:rPr>
        <w:lastRenderedPageBreak/>
        <w:t>MPA</w:t>
      </w:r>
    </w:p>
    <w:p w14:paraId="7A19DFAB" w14:textId="77777777" w:rsidR="00924D52" w:rsidRPr="00D87B18" w:rsidRDefault="00924D52">
      <w:pPr>
        <w:jc w:val="center"/>
        <w:rPr>
          <w:b/>
          <w:bCs/>
          <w:sz w:val="28"/>
        </w:rPr>
      </w:pPr>
      <w:r w:rsidRPr="00D87B18">
        <w:rPr>
          <w:b/>
          <w:bCs/>
          <w:sz w:val="28"/>
        </w:rPr>
        <w:t>Educational Effectiveness</w:t>
      </w:r>
      <w:r w:rsidR="00D9215B" w:rsidRPr="00D87B18">
        <w:rPr>
          <w:b/>
          <w:bCs/>
          <w:sz w:val="28"/>
        </w:rPr>
        <w:t xml:space="preserve"> </w:t>
      </w:r>
      <w:r w:rsidRPr="00D87B18">
        <w:rPr>
          <w:b/>
          <w:bCs/>
          <w:sz w:val="28"/>
        </w:rPr>
        <w:t>Assessment Plan</w:t>
      </w:r>
    </w:p>
    <w:p w14:paraId="4DA6AA4B" w14:textId="77777777" w:rsidR="00924D52" w:rsidRPr="00D87B18" w:rsidRDefault="00924D52">
      <w:pPr>
        <w:pStyle w:val="HeadingBCharChar"/>
      </w:pPr>
    </w:p>
    <w:p w14:paraId="0DDFCCCD" w14:textId="77777777" w:rsidR="00924D52" w:rsidRPr="00D87B18" w:rsidRDefault="00924D52">
      <w:pPr>
        <w:rPr>
          <w:b/>
        </w:rPr>
      </w:pPr>
    </w:p>
    <w:p w14:paraId="5DC087DF" w14:textId="77777777" w:rsidR="00924D52" w:rsidRPr="00D87B18" w:rsidRDefault="00924D52">
      <w:pPr>
        <w:jc w:val="center"/>
        <w:rPr>
          <w:b/>
          <w:smallCaps/>
          <w:sz w:val="26"/>
        </w:rPr>
      </w:pPr>
      <w:r w:rsidRPr="00D87B18">
        <w:rPr>
          <w:b/>
          <w:smallCaps/>
          <w:sz w:val="26"/>
        </w:rPr>
        <w:t>Table of Contents</w:t>
      </w:r>
    </w:p>
    <w:p w14:paraId="3E296714" w14:textId="77777777" w:rsidR="00924D52" w:rsidRPr="00D87B18" w:rsidRDefault="00924D52">
      <w:pPr>
        <w:jc w:val="center"/>
        <w:rPr>
          <w:b/>
          <w:smallCaps/>
          <w:sz w:val="26"/>
        </w:rPr>
      </w:pPr>
    </w:p>
    <w:bookmarkStart w:id="2" w:name="ProgramGoals"/>
    <w:p w14:paraId="556447C6" w14:textId="77777777" w:rsidR="00D87B18" w:rsidRPr="00D87B18" w:rsidRDefault="00D87B18">
      <w:pPr>
        <w:pStyle w:val="TOC1"/>
        <w:tabs>
          <w:tab w:val="right" w:leader="dot" w:pos="9350"/>
        </w:tabs>
        <w:rPr>
          <w:b w:val="0"/>
          <w:bCs w:val="0"/>
          <w:i w:val="0"/>
          <w:iCs w:val="0"/>
          <w:noProof/>
        </w:rPr>
      </w:pPr>
      <w:r w:rsidRPr="00D87B18">
        <w:rPr>
          <w:b w:val="0"/>
          <w:bCs w:val="0"/>
          <w:i w:val="0"/>
          <w:iCs w:val="0"/>
        </w:rPr>
        <w:fldChar w:fldCharType="begin"/>
      </w:r>
      <w:r w:rsidRPr="00D87B18">
        <w:rPr>
          <w:b w:val="0"/>
          <w:bCs w:val="0"/>
          <w:i w:val="0"/>
          <w:iCs w:val="0"/>
        </w:rPr>
        <w:instrText xml:space="preserve"> TOC \o "1-3" \h \z \u </w:instrText>
      </w:r>
      <w:r w:rsidRPr="00D87B18">
        <w:rPr>
          <w:b w:val="0"/>
          <w:bCs w:val="0"/>
          <w:i w:val="0"/>
          <w:iCs w:val="0"/>
        </w:rPr>
        <w:fldChar w:fldCharType="separate"/>
      </w:r>
      <w:hyperlink w:anchor="_Toc201137008" w:history="1">
        <w:r w:rsidRPr="00D87B18">
          <w:rPr>
            <w:rStyle w:val="Hyperlink"/>
            <w:noProof/>
          </w:rPr>
          <w:t>Introduction</w:t>
        </w:r>
        <w:r w:rsidRPr="00D87B18">
          <w:rPr>
            <w:noProof/>
            <w:webHidden/>
          </w:rPr>
          <w:tab/>
        </w:r>
        <w:r w:rsidRPr="00D87B18">
          <w:rPr>
            <w:noProof/>
            <w:webHidden/>
          </w:rPr>
          <w:fldChar w:fldCharType="begin"/>
        </w:r>
        <w:r w:rsidRPr="00D87B18">
          <w:rPr>
            <w:noProof/>
            <w:webHidden/>
          </w:rPr>
          <w:instrText xml:space="preserve"> PAGEREF _Toc201137008 \h </w:instrText>
        </w:r>
        <w:r w:rsidRPr="00D87B18">
          <w:rPr>
            <w:noProof/>
            <w:webHidden/>
          </w:rPr>
        </w:r>
        <w:r w:rsidRPr="00D87B18">
          <w:rPr>
            <w:noProof/>
            <w:webHidden/>
          </w:rPr>
          <w:fldChar w:fldCharType="separate"/>
        </w:r>
        <w:r w:rsidRPr="00D87B18">
          <w:rPr>
            <w:noProof/>
            <w:webHidden/>
          </w:rPr>
          <w:t>1</w:t>
        </w:r>
        <w:r w:rsidRPr="00D87B18">
          <w:rPr>
            <w:noProof/>
            <w:webHidden/>
          </w:rPr>
          <w:fldChar w:fldCharType="end"/>
        </w:r>
      </w:hyperlink>
    </w:p>
    <w:p w14:paraId="03226B26" w14:textId="77777777" w:rsidR="00D87B18" w:rsidRPr="00D87B18" w:rsidRDefault="00CF3621">
      <w:pPr>
        <w:pStyle w:val="TOC2"/>
        <w:tabs>
          <w:tab w:val="right" w:leader="dot" w:pos="9350"/>
        </w:tabs>
        <w:rPr>
          <w:b w:val="0"/>
          <w:bCs w:val="0"/>
          <w:noProof/>
          <w:sz w:val="24"/>
          <w:szCs w:val="24"/>
        </w:rPr>
      </w:pPr>
      <w:hyperlink w:anchor="_Toc201137009" w:history="1">
        <w:r w:rsidR="00D87B18" w:rsidRPr="00D87B18">
          <w:rPr>
            <w:rStyle w:val="Hyperlink"/>
            <w:noProof/>
          </w:rPr>
          <w:t>Purpose</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_Toc201137009 \h </w:instrText>
        </w:r>
        <w:r w:rsidR="00D87B18" w:rsidRPr="00D87B18">
          <w:rPr>
            <w:noProof/>
            <w:webHidden/>
          </w:rPr>
        </w:r>
        <w:r w:rsidR="00D87B18" w:rsidRPr="00D87B18">
          <w:rPr>
            <w:noProof/>
            <w:webHidden/>
          </w:rPr>
          <w:fldChar w:fldCharType="separate"/>
        </w:r>
        <w:r w:rsidR="00D87B18" w:rsidRPr="00D87B18">
          <w:rPr>
            <w:noProof/>
            <w:webHidden/>
          </w:rPr>
          <w:t>1</w:t>
        </w:r>
        <w:r w:rsidR="00D87B18" w:rsidRPr="00D87B18">
          <w:rPr>
            <w:noProof/>
            <w:webHidden/>
          </w:rPr>
          <w:fldChar w:fldCharType="end"/>
        </w:r>
      </w:hyperlink>
    </w:p>
    <w:p w14:paraId="5A7539B7" w14:textId="77777777" w:rsidR="00D87B18" w:rsidRPr="00D87B18" w:rsidRDefault="00CF3621">
      <w:pPr>
        <w:pStyle w:val="TOC1"/>
        <w:tabs>
          <w:tab w:val="right" w:leader="dot" w:pos="9350"/>
        </w:tabs>
        <w:rPr>
          <w:b w:val="0"/>
          <w:bCs w:val="0"/>
          <w:i w:val="0"/>
          <w:iCs w:val="0"/>
          <w:noProof/>
        </w:rPr>
      </w:pPr>
      <w:hyperlink w:anchor="_Toc201137010" w:history="1">
        <w:r w:rsidR="00D87B18" w:rsidRPr="00D87B18">
          <w:rPr>
            <w:rStyle w:val="Hyperlink"/>
            <w:noProof/>
          </w:rPr>
          <w:t>Mission</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_Toc201137010 \h </w:instrText>
        </w:r>
        <w:r w:rsidR="00D87B18" w:rsidRPr="00D87B18">
          <w:rPr>
            <w:noProof/>
            <w:webHidden/>
          </w:rPr>
        </w:r>
        <w:r w:rsidR="00D87B18" w:rsidRPr="00D87B18">
          <w:rPr>
            <w:noProof/>
            <w:webHidden/>
          </w:rPr>
          <w:fldChar w:fldCharType="separate"/>
        </w:r>
        <w:r w:rsidR="00D87B18" w:rsidRPr="00D87B18">
          <w:rPr>
            <w:noProof/>
            <w:webHidden/>
          </w:rPr>
          <w:t>1</w:t>
        </w:r>
        <w:r w:rsidR="00D87B18" w:rsidRPr="00D87B18">
          <w:rPr>
            <w:noProof/>
            <w:webHidden/>
          </w:rPr>
          <w:fldChar w:fldCharType="end"/>
        </w:r>
      </w:hyperlink>
    </w:p>
    <w:p w14:paraId="5E340210" w14:textId="77777777" w:rsidR="00D87B18" w:rsidRPr="00D87B18" w:rsidRDefault="00CF3621">
      <w:pPr>
        <w:pStyle w:val="TOC2"/>
        <w:tabs>
          <w:tab w:val="right" w:leader="dot" w:pos="9350"/>
        </w:tabs>
        <w:rPr>
          <w:b w:val="0"/>
          <w:bCs w:val="0"/>
          <w:noProof/>
          <w:sz w:val="24"/>
          <w:szCs w:val="24"/>
        </w:rPr>
      </w:pPr>
      <w:hyperlink w:anchor="_Toc201137011" w:history="1">
        <w:r w:rsidR="00D87B18" w:rsidRPr="00D87B18">
          <w:rPr>
            <w:rStyle w:val="Hyperlink"/>
            <w:noProof/>
          </w:rPr>
          <w:t>University of Alaska Anchorage Mission Statement</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_Toc201137011 \h </w:instrText>
        </w:r>
        <w:r w:rsidR="00D87B18" w:rsidRPr="00D87B18">
          <w:rPr>
            <w:noProof/>
            <w:webHidden/>
          </w:rPr>
        </w:r>
        <w:r w:rsidR="00D87B18" w:rsidRPr="00D87B18">
          <w:rPr>
            <w:noProof/>
            <w:webHidden/>
          </w:rPr>
          <w:fldChar w:fldCharType="separate"/>
        </w:r>
        <w:r w:rsidR="00D87B18" w:rsidRPr="00D87B18">
          <w:rPr>
            <w:noProof/>
            <w:webHidden/>
          </w:rPr>
          <w:t>1</w:t>
        </w:r>
        <w:r w:rsidR="00D87B18" w:rsidRPr="00D87B18">
          <w:rPr>
            <w:noProof/>
            <w:webHidden/>
          </w:rPr>
          <w:fldChar w:fldCharType="end"/>
        </w:r>
      </w:hyperlink>
    </w:p>
    <w:p w14:paraId="0C4015D4" w14:textId="77777777" w:rsidR="00D87B18" w:rsidRPr="00D87B18" w:rsidRDefault="00CF3621">
      <w:pPr>
        <w:pStyle w:val="TOC2"/>
        <w:tabs>
          <w:tab w:val="right" w:leader="dot" w:pos="9350"/>
        </w:tabs>
        <w:rPr>
          <w:b w:val="0"/>
          <w:bCs w:val="0"/>
          <w:noProof/>
          <w:sz w:val="24"/>
          <w:szCs w:val="24"/>
        </w:rPr>
      </w:pPr>
      <w:hyperlink w:anchor="_Toc201137012" w:history="1">
        <w:r w:rsidR="00D87B18" w:rsidRPr="00D87B18">
          <w:rPr>
            <w:rStyle w:val="Hyperlink"/>
            <w:noProof/>
          </w:rPr>
          <w:t>College of Business and Public Administration Mission</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_Toc201137012 \h </w:instrText>
        </w:r>
        <w:r w:rsidR="00D87B18" w:rsidRPr="00D87B18">
          <w:rPr>
            <w:noProof/>
            <w:webHidden/>
          </w:rPr>
        </w:r>
        <w:r w:rsidR="00D87B18" w:rsidRPr="00D87B18">
          <w:rPr>
            <w:noProof/>
            <w:webHidden/>
          </w:rPr>
          <w:fldChar w:fldCharType="separate"/>
        </w:r>
        <w:r w:rsidR="00D87B18" w:rsidRPr="00D87B18">
          <w:rPr>
            <w:noProof/>
            <w:webHidden/>
          </w:rPr>
          <w:t>2</w:t>
        </w:r>
        <w:r w:rsidR="00D87B18" w:rsidRPr="00D87B18">
          <w:rPr>
            <w:noProof/>
            <w:webHidden/>
          </w:rPr>
          <w:fldChar w:fldCharType="end"/>
        </w:r>
      </w:hyperlink>
    </w:p>
    <w:p w14:paraId="11921CB7" w14:textId="77777777" w:rsidR="00D87B18" w:rsidRPr="00D87B18" w:rsidRDefault="00CF3621">
      <w:pPr>
        <w:pStyle w:val="TOC2"/>
        <w:tabs>
          <w:tab w:val="right" w:leader="dot" w:pos="9350"/>
        </w:tabs>
        <w:rPr>
          <w:b w:val="0"/>
          <w:bCs w:val="0"/>
          <w:noProof/>
          <w:sz w:val="24"/>
          <w:szCs w:val="24"/>
        </w:rPr>
      </w:pPr>
      <w:hyperlink w:anchor="_Toc201137013" w:history="1">
        <w:r w:rsidR="00D87B18" w:rsidRPr="00D87B18">
          <w:rPr>
            <w:rStyle w:val="Hyperlink"/>
            <w:noProof/>
          </w:rPr>
          <w:t>Department of Pubic Administration Mission</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_Toc201137013 \h </w:instrText>
        </w:r>
        <w:r w:rsidR="00D87B18" w:rsidRPr="00D87B18">
          <w:rPr>
            <w:noProof/>
            <w:webHidden/>
          </w:rPr>
        </w:r>
        <w:r w:rsidR="00D87B18" w:rsidRPr="00D87B18">
          <w:rPr>
            <w:noProof/>
            <w:webHidden/>
          </w:rPr>
          <w:fldChar w:fldCharType="separate"/>
        </w:r>
        <w:r w:rsidR="00D87B18" w:rsidRPr="00D87B18">
          <w:rPr>
            <w:noProof/>
            <w:webHidden/>
          </w:rPr>
          <w:t>2</w:t>
        </w:r>
        <w:r w:rsidR="00D87B18" w:rsidRPr="00D87B18">
          <w:rPr>
            <w:noProof/>
            <w:webHidden/>
          </w:rPr>
          <w:fldChar w:fldCharType="end"/>
        </w:r>
      </w:hyperlink>
    </w:p>
    <w:p w14:paraId="2D6462E3" w14:textId="77777777" w:rsidR="00D87B18" w:rsidRPr="00D87B18" w:rsidRDefault="00CF3621">
      <w:pPr>
        <w:pStyle w:val="TOC1"/>
        <w:tabs>
          <w:tab w:val="right" w:leader="dot" w:pos="9350"/>
        </w:tabs>
        <w:rPr>
          <w:b w:val="0"/>
          <w:bCs w:val="0"/>
          <w:i w:val="0"/>
          <w:iCs w:val="0"/>
          <w:noProof/>
        </w:rPr>
      </w:pPr>
      <w:hyperlink w:anchor="_Toc201137014" w:history="1">
        <w:r w:rsidR="00D87B18" w:rsidRPr="00D87B18">
          <w:rPr>
            <w:rStyle w:val="Hyperlink"/>
            <w:noProof/>
          </w:rPr>
          <w:t>Market Need for Qualified Public Administrators and Policy Analysts</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_Toc201137014 \h </w:instrText>
        </w:r>
        <w:r w:rsidR="00D87B18" w:rsidRPr="00D87B18">
          <w:rPr>
            <w:noProof/>
            <w:webHidden/>
          </w:rPr>
        </w:r>
        <w:r w:rsidR="00D87B18" w:rsidRPr="00D87B18">
          <w:rPr>
            <w:noProof/>
            <w:webHidden/>
          </w:rPr>
          <w:fldChar w:fldCharType="separate"/>
        </w:r>
        <w:r w:rsidR="00D87B18" w:rsidRPr="00D87B18">
          <w:rPr>
            <w:noProof/>
            <w:webHidden/>
          </w:rPr>
          <w:t>2</w:t>
        </w:r>
        <w:r w:rsidR="00D87B18" w:rsidRPr="00D87B18">
          <w:rPr>
            <w:noProof/>
            <w:webHidden/>
          </w:rPr>
          <w:fldChar w:fldCharType="end"/>
        </w:r>
      </w:hyperlink>
    </w:p>
    <w:p w14:paraId="7F326019" w14:textId="77777777" w:rsidR="00D87B18" w:rsidRPr="00D87B18" w:rsidRDefault="00CF3621">
      <w:pPr>
        <w:pStyle w:val="TOC1"/>
        <w:tabs>
          <w:tab w:val="right" w:leader="dot" w:pos="9350"/>
        </w:tabs>
        <w:rPr>
          <w:b w:val="0"/>
          <w:bCs w:val="0"/>
          <w:i w:val="0"/>
          <w:iCs w:val="0"/>
          <w:noProof/>
        </w:rPr>
      </w:pPr>
      <w:hyperlink w:anchor="_Toc201137015" w:history="1">
        <w:r w:rsidR="00D87B18" w:rsidRPr="00D87B18">
          <w:rPr>
            <w:rStyle w:val="Hyperlink"/>
            <w:noProof/>
          </w:rPr>
          <w:t>Public Administration Program Description</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_Toc201137015 \h </w:instrText>
        </w:r>
        <w:r w:rsidR="00D87B18" w:rsidRPr="00D87B18">
          <w:rPr>
            <w:noProof/>
            <w:webHidden/>
          </w:rPr>
        </w:r>
        <w:r w:rsidR="00D87B18" w:rsidRPr="00D87B18">
          <w:rPr>
            <w:noProof/>
            <w:webHidden/>
          </w:rPr>
          <w:fldChar w:fldCharType="separate"/>
        </w:r>
        <w:r w:rsidR="00D87B18" w:rsidRPr="00D87B18">
          <w:rPr>
            <w:noProof/>
            <w:webHidden/>
          </w:rPr>
          <w:t>3</w:t>
        </w:r>
        <w:r w:rsidR="00D87B18" w:rsidRPr="00D87B18">
          <w:rPr>
            <w:noProof/>
            <w:webHidden/>
          </w:rPr>
          <w:fldChar w:fldCharType="end"/>
        </w:r>
      </w:hyperlink>
    </w:p>
    <w:p w14:paraId="4A9DA3C8" w14:textId="77777777" w:rsidR="00D87B18" w:rsidRPr="00D87B18" w:rsidRDefault="00CF3621">
      <w:pPr>
        <w:pStyle w:val="TOC1"/>
        <w:tabs>
          <w:tab w:val="right" w:leader="dot" w:pos="9350"/>
        </w:tabs>
        <w:rPr>
          <w:b w:val="0"/>
          <w:bCs w:val="0"/>
          <w:i w:val="0"/>
          <w:iCs w:val="0"/>
          <w:noProof/>
        </w:rPr>
      </w:pPr>
      <w:hyperlink w:anchor="_Toc201137016" w:history="1">
        <w:r w:rsidR="00D87B18" w:rsidRPr="00D87B18">
          <w:rPr>
            <w:rStyle w:val="Hyperlink"/>
            <w:noProof/>
          </w:rPr>
          <w:t>NASPAA Accreditation</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_Toc201137016 \h </w:instrText>
        </w:r>
        <w:r w:rsidR="00D87B18" w:rsidRPr="00D87B18">
          <w:rPr>
            <w:noProof/>
            <w:webHidden/>
          </w:rPr>
        </w:r>
        <w:r w:rsidR="00D87B18" w:rsidRPr="00D87B18">
          <w:rPr>
            <w:noProof/>
            <w:webHidden/>
          </w:rPr>
          <w:fldChar w:fldCharType="separate"/>
        </w:r>
        <w:r w:rsidR="00D87B18" w:rsidRPr="00D87B18">
          <w:rPr>
            <w:noProof/>
            <w:webHidden/>
          </w:rPr>
          <w:t>3</w:t>
        </w:r>
        <w:r w:rsidR="00D87B18" w:rsidRPr="00D87B18">
          <w:rPr>
            <w:noProof/>
            <w:webHidden/>
          </w:rPr>
          <w:fldChar w:fldCharType="end"/>
        </w:r>
      </w:hyperlink>
    </w:p>
    <w:p w14:paraId="1CA0FD82" w14:textId="77777777" w:rsidR="00D87B18" w:rsidRPr="00D87B18" w:rsidRDefault="00CF3621">
      <w:pPr>
        <w:pStyle w:val="TOC2"/>
        <w:tabs>
          <w:tab w:val="right" w:leader="dot" w:pos="9350"/>
        </w:tabs>
        <w:rPr>
          <w:b w:val="0"/>
          <w:bCs w:val="0"/>
          <w:noProof/>
          <w:sz w:val="24"/>
          <w:szCs w:val="24"/>
        </w:rPr>
      </w:pPr>
      <w:hyperlink w:anchor="_Toc201137017" w:history="1">
        <w:r w:rsidR="00D87B18" w:rsidRPr="00D87B18">
          <w:rPr>
            <w:rStyle w:val="Hyperlink"/>
            <w:noProof/>
          </w:rPr>
          <w:t>Standards and Terminology</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_Toc201137017 \h </w:instrText>
        </w:r>
        <w:r w:rsidR="00D87B18" w:rsidRPr="00D87B18">
          <w:rPr>
            <w:noProof/>
            <w:webHidden/>
          </w:rPr>
        </w:r>
        <w:r w:rsidR="00D87B18" w:rsidRPr="00D87B18">
          <w:rPr>
            <w:noProof/>
            <w:webHidden/>
          </w:rPr>
          <w:fldChar w:fldCharType="separate"/>
        </w:r>
        <w:r w:rsidR="00D87B18" w:rsidRPr="00D87B18">
          <w:rPr>
            <w:noProof/>
            <w:webHidden/>
          </w:rPr>
          <w:t>3</w:t>
        </w:r>
        <w:r w:rsidR="00D87B18" w:rsidRPr="00D87B18">
          <w:rPr>
            <w:noProof/>
            <w:webHidden/>
          </w:rPr>
          <w:fldChar w:fldCharType="end"/>
        </w:r>
      </w:hyperlink>
    </w:p>
    <w:p w14:paraId="672A3380" w14:textId="77777777" w:rsidR="00D87B18" w:rsidRPr="00D87B18" w:rsidRDefault="00CF3621">
      <w:pPr>
        <w:pStyle w:val="TOC2"/>
        <w:tabs>
          <w:tab w:val="right" w:leader="dot" w:pos="9350"/>
        </w:tabs>
        <w:rPr>
          <w:b w:val="0"/>
          <w:bCs w:val="0"/>
          <w:noProof/>
          <w:sz w:val="24"/>
          <w:szCs w:val="24"/>
        </w:rPr>
      </w:pPr>
      <w:hyperlink w:anchor="_Toc201137018" w:history="1">
        <w:r w:rsidR="00D87B18" w:rsidRPr="00D87B18">
          <w:rPr>
            <w:rStyle w:val="Hyperlink"/>
            <w:noProof/>
          </w:rPr>
          <w:t>MPA Competencies</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_Toc201137018 \h </w:instrText>
        </w:r>
        <w:r w:rsidR="00D87B18" w:rsidRPr="00D87B18">
          <w:rPr>
            <w:noProof/>
            <w:webHidden/>
          </w:rPr>
        </w:r>
        <w:r w:rsidR="00D87B18" w:rsidRPr="00D87B18">
          <w:rPr>
            <w:noProof/>
            <w:webHidden/>
          </w:rPr>
          <w:fldChar w:fldCharType="separate"/>
        </w:r>
        <w:r w:rsidR="00D87B18" w:rsidRPr="00D87B18">
          <w:rPr>
            <w:noProof/>
            <w:webHidden/>
          </w:rPr>
          <w:t>4</w:t>
        </w:r>
        <w:r w:rsidR="00D87B18" w:rsidRPr="00D87B18">
          <w:rPr>
            <w:noProof/>
            <w:webHidden/>
          </w:rPr>
          <w:fldChar w:fldCharType="end"/>
        </w:r>
      </w:hyperlink>
    </w:p>
    <w:p w14:paraId="59069615" w14:textId="77777777" w:rsidR="00D87B18" w:rsidRPr="00D87B18" w:rsidRDefault="00CF3621">
      <w:pPr>
        <w:pStyle w:val="TOC2"/>
        <w:tabs>
          <w:tab w:val="right" w:leader="dot" w:pos="9350"/>
        </w:tabs>
        <w:rPr>
          <w:b w:val="0"/>
          <w:bCs w:val="0"/>
          <w:noProof/>
          <w:sz w:val="24"/>
          <w:szCs w:val="24"/>
        </w:rPr>
      </w:pPr>
      <w:hyperlink w:anchor="_Toc201137019" w:history="1">
        <w:r w:rsidR="00D87B18" w:rsidRPr="00D87B18">
          <w:rPr>
            <w:rStyle w:val="Hyperlink"/>
            <w:noProof/>
          </w:rPr>
          <w:t>UAA PADM Program Correspondence of Competencies</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_Toc201137019 \h </w:instrText>
        </w:r>
        <w:r w:rsidR="00D87B18" w:rsidRPr="00D87B18">
          <w:rPr>
            <w:noProof/>
            <w:webHidden/>
          </w:rPr>
        </w:r>
        <w:r w:rsidR="00D87B18" w:rsidRPr="00D87B18">
          <w:rPr>
            <w:noProof/>
            <w:webHidden/>
          </w:rPr>
          <w:fldChar w:fldCharType="separate"/>
        </w:r>
        <w:r w:rsidR="00D87B18" w:rsidRPr="00D87B18">
          <w:rPr>
            <w:noProof/>
            <w:webHidden/>
          </w:rPr>
          <w:t>4</w:t>
        </w:r>
        <w:r w:rsidR="00D87B18" w:rsidRPr="00D87B18">
          <w:rPr>
            <w:noProof/>
            <w:webHidden/>
          </w:rPr>
          <w:fldChar w:fldCharType="end"/>
        </w:r>
      </w:hyperlink>
    </w:p>
    <w:p w14:paraId="6CB882A3" w14:textId="77777777" w:rsidR="00D87B18" w:rsidRPr="00D87B18" w:rsidRDefault="00CF3621">
      <w:pPr>
        <w:pStyle w:val="TOC1"/>
        <w:tabs>
          <w:tab w:val="right" w:leader="dot" w:pos="9350"/>
        </w:tabs>
        <w:rPr>
          <w:b w:val="0"/>
          <w:bCs w:val="0"/>
          <w:i w:val="0"/>
          <w:iCs w:val="0"/>
          <w:noProof/>
        </w:rPr>
      </w:pPr>
      <w:hyperlink w:anchor="_Toc201137020" w:history="1">
        <w:r w:rsidR="00D87B18" w:rsidRPr="00D87B18">
          <w:rPr>
            <w:rStyle w:val="Hyperlink"/>
            <w:noProof/>
          </w:rPr>
          <w:t>Public Administration Performance</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_Toc201137020 \h </w:instrText>
        </w:r>
        <w:r w:rsidR="00D87B18" w:rsidRPr="00D87B18">
          <w:rPr>
            <w:noProof/>
            <w:webHidden/>
          </w:rPr>
        </w:r>
        <w:r w:rsidR="00D87B18" w:rsidRPr="00D87B18">
          <w:rPr>
            <w:noProof/>
            <w:webHidden/>
          </w:rPr>
          <w:fldChar w:fldCharType="separate"/>
        </w:r>
        <w:r w:rsidR="00D87B18" w:rsidRPr="00D87B18">
          <w:rPr>
            <w:noProof/>
            <w:webHidden/>
          </w:rPr>
          <w:t>6</w:t>
        </w:r>
        <w:r w:rsidR="00D87B18" w:rsidRPr="00D87B18">
          <w:rPr>
            <w:noProof/>
            <w:webHidden/>
          </w:rPr>
          <w:fldChar w:fldCharType="end"/>
        </w:r>
      </w:hyperlink>
    </w:p>
    <w:p w14:paraId="7D788D57" w14:textId="77777777" w:rsidR="00D87B18" w:rsidRPr="00D87B18" w:rsidRDefault="00CF3621">
      <w:pPr>
        <w:pStyle w:val="TOC2"/>
        <w:tabs>
          <w:tab w:val="right" w:leader="dot" w:pos="9350"/>
        </w:tabs>
        <w:rPr>
          <w:b w:val="0"/>
          <w:bCs w:val="0"/>
          <w:noProof/>
          <w:sz w:val="24"/>
          <w:szCs w:val="24"/>
        </w:rPr>
      </w:pPr>
      <w:hyperlink w:anchor="_Toc201137021" w:history="1">
        <w:r w:rsidR="00D87B18" w:rsidRPr="00D87B18">
          <w:rPr>
            <w:rStyle w:val="Hyperlink"/>
            <w:noProof/>
          </w:rPr>
          <w:t>Student Credit Hours</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_Toc201137021 \h </w:instrText>
        </w:r>
        <w:r w:rsidR="00D87B18" w:rsidRPr="00D87B18">
          <w:rPr>
            <w:noProof/>
            <w:webHidden/>
          </w:rPr>
        </w:r>
        <w:r w:rsidR="00D87B18" w:rsidRPr="00D87B18">
          <w:rPr>
            <w:noProof/>
            <w:webHidden/>
          </w:rPr>
          <w:fldChar w:fldCharType="separate"/>
        </w:r>
        <w:r w:rsidR="00D87B18" w:rsidRPr="00D87B18">
          <w:rPr>
            <w:noProof/>
            <w:webHidden/>
          </w:rPr>
          <w:t>6</w:t>
        </w:r>
        <w:r w:rsidR="00D87B18" w:rsidRPr="00D87B18">
          <w:rPr>
            <w:noProof/>
            <w:webHidden/>
          </w:rPr>
          <w:fldChar w:fldCharType="end"/>
        </w:r>
      </w:hyperlink>
    </w:p>
    <w:p w14:paraId="14D332A0" w14:textId="77777777" w:rsidR="00D87B18" w:rsidRPr="00D87B18" w:rsidRDefault="00CF3621">
      <w:pPr>
        <w:pStyle w:val="TOC2"/>
        <w:tabs>
          <w:tab w:val="right" w:leader="dot" w:pos="9350"/>
        </w:tabs>
        <w:rPr>
          <w:b w:val="0"/>
          <w:bCs w:val="0"/>
          <w:noProof/>
          <w:sz w:val="24"/>
          <w:szCs w:val="24"/>
        </w:rPr>
      </w:pPr>
      <w:hyperlink w:anchor="_Toc201137022" w:history="1">
        <w:r w:rsidR="00D87B18" w:rsidRPr="00D87B18">
          <w:rPr>
            <w:rStyle w:val="Hyperlink"/>
            <w:noProof/>
          </w:rPr>
          <w:t>High Demand Job area degrees awarded</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_Toc201137022 \h </w:instrText>
        </w:r>
        <w:r w:rsidR="00D87B18" w:rsidRPr="00D87B18">
          <w:rPr>
            <w:noProof/>
            <w:webHidden/>
          </w:rPr>
        </w:r>
        <w:r w:rsidR="00D87B18" w:rsidRPr="00D87B18">
          <w:rPr>
            <w:noProof/>
            <w:webHidden/>
          </w:rPr>
          <w:fldChar w:fldCharType="separate"/>
        </w:r>
        <w:r w:rsidR="00D87B18" w:rsidRPr="00D87B18">
          <w:rPr>
            <w:noProof/>
            <w:webHidden/>
          </w:rPr>
          <w:t>6</w:t>
        </w:r>
        <w:r w:rsidR="00D87B18" w:rsidRPr="00D87B18">
          <w:rPr>
            <w:noProof/>
            <w:webHidden/>
          </w:rPr>
          <w:fldChar w:fldCharType="end"/>
        </w:r>
      </w:hyperlink>
    </w:p>
    <w:p w14:paraId="0549ECE2" w14:textId="77777777" w:rsidR="00D87B18" w:rsidRPr="00D87B18" w:rsidRDefault="00CF3621">
      <w:pPr>
        <w:pStyle w:val="TOC2"/>
        <w:tabs>
          <w:tab w:val="right" w:leader="dot" w:pos="9350"/>
        </w:tabs>
        <w:rPr>
          <w:b w:val="0"/>
          <w:bCs w:val="0"/>
          <w:noProof/>
          <w:sz w:val="24"/>
          <w:szCs w:val="24"/>
        </w:rPr>
      </w:pPr>
      <w:hyperlink w:anchor="_Toc201137023" w:history="1">
        <w:r w:rsidR="00D87B18" w:rsidRPr="00D87B18">
          <w:rPr>
            <w:rStyle w:val="Hyperlink"/>
            <w:noProof/>
          </w:rPr>
          <w:t>Strategic Enrollment Management Plans:</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_Toc201137023 \h </w:instrText>
        </w:r>
        <w:r w:rsidR="00D87B18" w:rsidRPr="00D87B18">
          <w:rPr>
            <w:noProof/>
            <w:webHidden/>
          </w:rPr>
        </w:r>
        <w:r w:rsidR="00D87B18" w:rsidRPr="00D87B18">
          <w:rPr>
            <w:noProof/>
            <w:webHidden/>
          </w:rPr>
          <w:fldChar w:fldCharType="separate"/>
        </w:r>
        <w:r w:rsidR="00D87B18" w:rsidRPr="00D87B18">
          <w:rPr>
            <w:noProof/>
            <w:webHidden/>
          </w:rPr>
          <w:t>7</w:t>
        </w:r>
        <w:r w:rsidR="00D87B18" w:rsidRPr="00D87B18">
          <w:rPr>
            <w:noProof/>
            <w:webHidden/>
          </w:rPr>
          <w:fldChar w:fldCharType="end"/>
        </w:r>
      </w:hyperlink>
    </w:p>
    <w:p w14:paraId="00115BE5" w14:textId="77777777" w:rsidR="00D87B18" w:rsidRPr="00D87B18" w:rsidRDefault="00CF3621">
      <w:pPr>
        <w:pStyle w:val="TOC2"/>
        <w:tabs>
          <w:tab w:val="right" w:leader="dot" w:pos="9350"/>
        </w:tabs>
        <w:rPr>
          <w:b w:val="0"/>
          <w:bCs w:val="0"/>
          <w:noProof/>
          <w:sz w:val="24"/>
          <w:szCs w:val="24"/>
        </w:rPr>
      </w:pPr>
      <w:hyperlink w:anchor="_Toc201137024" w:history="1">
        <w:r w:rsidR="00D87B18" w:rsidRPr="00D87B18">
          <w:rPr>
            <w:rStyle w:val="Hyperlink"/>
            <w:noProof/>
          </w:rPr>
          <w:t>Conformance with UAA Strategic Goals</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_Toc201137024 \h </w:instrText>
        </w:r>
        <w:r w:rsidR="00D87B18" w:rsidRPr="00D87B18">
          <w:rPr>
            <w:noProof/>
            <w:webHidden/>
          </w:rPr>
        </w:r>
        <w:r w:rsidR="00D87B18" w:rsidRPr="00D87B18">
          <w:rPr>
            <w:noProof/>
            <w:webHidden/>
          </w:rPr>
          <w:fldChar w:fldCharType="separate"/>
        </w:r>
        <w:r w:rsidR="00D87B18" w:rsidRPr="00D87B18">
          <w:rPr>
            <w:noProof/>
            <w:webHidden/>
          </w:rPr>
          <w:t>8</w:t>
        </w:r>
        <w:r w:rsidR="00D87B18" w:rsidRPr="00D87B18">
          <w:rPr>
            <w:noProof/>
            <w:webHidden/>
          </w:rPr>
          <w:fldChar w:fldCharType="end"/>
        </w:r>
      </w:hyperlink>
    </w:p>
    <w:p w14:paraId="34FEFFBD" w14:textId="77777777" w:rsidR="00D87B18" w:rsidRPr="00D87B18" w:rsidRDefault="00CF3621">
      <w:pPr>
        <w:pStyle w:val="TOC1"/>
        <w:tabs>
          <w:tab w:val="right" w:leader="dot" w:pos="9350"/>
        </w:tabs>
        <w:rPr>
          <w:b w:val="0"/>
          <w:bCs w:val="0"/>
          <w:i w:val="0"/>
          <w:iCs w:val="0"/>
          <w:noProof/>
        </w:rPr>
      </w:pPr>
      <w:hyperlink w:anchor="_Toc201137025" w:history="1">
        <w:r w:rsidR="00D87B18" w:rsidRPr="00D87B18">
          <w:rPr>
            <w:rStyle w:val="Hyperlink"/>
            <w:noProof/>
          </w:rPr>
          <w:t>MPA Measurable Objectives</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_Toc201137025 \h </w:instrText>
        </w:r>
        <w:r w:rsidR="00D87B18" w:rsidRPr="00D87B18">
          <w:rPr>
            <w:noProof/>
            <w:webHidden/>
          </w:rPr>
        </w:r>
        <w:r w:rsidR="00D87B18" w:rsidRPr="00D87B18">
          <w:rPr>
            <w:noProof/>
            <w:webHidden/>
          </w:rPr>
          <w:fldChar w:fldCharType="separate"/>
        </w:r>
        <w:r w:rsidR="00D87B18" w:rsidRPr="00D87B18">
          <w:rPr>
            <w:noProof/>
            <w:webHidden/>
          </w:rPr>
          <w:t>9</w:t>
        </w:r>
        <w:r w:rsidR="00D87B18" w:rsidRPr="00D87B18">
          <w:rPr>
            <w:noProof/>
            <w:webHidden/>
          </w:rPr>
          <w:fldChar w:fldCharType="end"/>
        </w:r>
      </w:hyperlink>
    </w:p>
    <w:p w14:paraId="35A5BB32" w14:textId="77777777" w:rsidR="00D87B18" w:rsidRPr="00D87B18" w:rsidRDefault="00CF3621">
      <w:pPr>
        <w:pStyle w:val="TOC1"/>
        <w:tabs>
          <w:tab w:val="right" w:leader="dot" w:pos="9350"/>
        </w:tabs>
        <w:rPr>
          <w:b w:val="0"/>
          <w:bCs w:val="0"/>
          <w:i w:val="0"/>
          <w:iCs w:val="0"/>
          <w:noProof/>
        </w:rPr>
      </w:pPr>
      <w:hyperlink w:anchor="_Toc201137026" w:history="1">
        <w:r w:rsidR="00D87B18" w:rsidRPr="00D87B18">
          <w:rPr>
            <w:rStyle w:val="Hyperlink"/>
            <w:noProof/>
          </w:rPr>
          <w:t>Assessment Tools</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_Toc201137026 \h </w:instrText>
        </w:r>
        <w:r w:rsidR="00D87B18" w:rsidRPr="00D87B18">
          <w:rPr>
            <w:noProof/>
            <w:webHidden/>
          </w:rPr>
        </w:r>
        <w:r w:rsidR="00D87B18" w:rsidRPr="00D87B18">
          <w:rPr>
            <w:noProof/>
            <w:webHidden/>
          </w:rPr>
          <w:fldChar w:fldCharType="separate"/>
        </w:r>
        <w:r w:rsidR="00D87B18" w:rsidRPr="00D87B18">
          <w:rPr>
            <w:noProof/>
            <w:webHidden/>
          </w:rPr>
          <w:t>10</w:t>
        </w:r>
        <w:r w:rsidR="00D87B18" w:rsidRPr="00D87B18">
          <w:rPr>
            <w:noProof/>
            <w:webHidden/>
          </w:rPr>
          <w:fldChar w:fldCharType="end"/>
        </w:r>
      </w:hyperlink>
    </w:p>
    <w:p w14:paraId="320B43DB" w14:textId="77777777" w:rsidR="00D87B18" w:rsidRPr="00D87B18" w:rsidRDefault="00CF3621">
      <w:pPr>
        <w:pStyle w:val="TOC1"/>
        <w:tabs>
          <w:tab w:val="right" w:leader="dot" w:pos="9350"/>
        </w:tabs>
        <w:rPr>
          <w:b w:val="0"/>
          <w:bCs w:val="0"/>
          <w:i w:val="0"/>
          <w:iCs w:val="0"/>
          <w:noProof/>
        </w:rPr>
      </w:pPr>
      <w:hyperlink w:anchor="_Toc201137027" w:history="1">
        <w:r w:rsidR="00D87B18" w:rsidRPr="00D87B18">
          <w:rPr>
            <w:rStyle w:val="Hyperlink"/>
            <w:noProof/>
          </w:rPr>
          <w:t>Assessment Implementation &amp; Analysis for Program Improvement</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_Toc201137027 \h </w:instrText>
        </w:r>
        <w:r w:rsidR="00D87B18" w:rsidRPr="00D87B18">
          <w:rPr>
            <w:noProof/>
            <w:webHidden/>
          </w:rPr>
        </w:r>
        <w:r w:rsidR="00D87B18" w:rsidRPr="00D87B18">
          <w:rPr>
            <w:noProof/>
            <w:webHidden/>
          </w:rPr>
          <w:fldChar w:fldCharType="separate"/>
        </w:r>
        <w:r w:rsidR="00D87B18" w:rsidRPr="00D87B18">
          <w:rPr>
            <w:noProof/>
            <w:webHidden/>
          </w:rPr>
          <w:t>14</w:t>
        </w:r>
        <w:r w:rsidR="00D87B18" w:rsidRPr="00D87B18">
          <w:rPr>
            <w:noProof/>
            <w:webHidden/>
          </w:rPr>
          <w:fldChar w:fldCharType="end"/>
        </w:r>
      </w:hyperlink>
    </w:p>
    <w:p w14:paraId="75370877" w14:textId="77777777" w:rsidR="00D87B18" w:rsidRPr="00D87B18" w:rsidRDefault="00CF3621">
      <w:pPr>
        <w:pStyle w:val="TOC2"/>
        <w:tabs>
          <w:tab w:val="right" w:leader="dot" w:pos="9350"/>
        </w:tabs>
        <w:rPr>
          <w:b w:val="0"/>
          <w:bCs w:val="0"/>
          <w:noProof/>
          <w:sz w:val="24"/>
          <w:szCs w:val="24"/>
        </w:rPr>
      </w:pPr>
      <w:hyperlink w:anchor="_Toc201137028" w:history="1">
        <w:r w:rsidR="00D87B18" w:rsidRPr="00D87B18">
          <w:rPr>
            <w:rStyle w:val="Hyperlink"/>
            <w:noProof/>
          </w:rPr>
          <w:t>General Implementation Strategy</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_Toc201137028 \h </w:instrText>
        </w:r>
        <w:r w:rsidR="00D87B18" w:rsidRPr="00D87B18">
          <w:rPr>
            <w:noProof/>
            <w:webHidden/>
          </w:rPr>
        </w:r>
        <w:r w:rsidR="00D87B18" w:rsidRPr="00D87B18">
          <w:rPr>
            <w:noProof/>
            <w:webHidden/>
          </w:rPr>
          <w:fldChar w:fldCharType="separate"/>
        </w:r>
        <w:r w:rsidR="00D87B18" w:rsidRPr="00D87B18">
          <w:rPr>
            <w:noProof/>
            <w:webHidden/>
          </w:rPr>
          <w:t>14</w:t>
        </w:r>
        <w:r w:rsidR="00D87B18" w:rsidRPr="00D87B18">
          <w:rPr>
            <w:noProof/>
            <w:webHidden/>
          </w:rPr>
          <w:fldChar w:fldCharType="end"/>
        </w:r>
      </w:hyperlink>
    </w:p>
    <w:p w14:paraId="5B4CAA40" w14:textId="77777777" w:rsidR="00D87B18" w:rsidRPr="00D87B18" w:rsidRDefault="00CF3621">
      <w:pPr>
        <w:pStyle w:val="TOC2"/>
        <w:tabs>
          <w:tab w:val="right" w:leader="dot" w:pos="9350"/>
        </w:tabs>
        <w:rPr>
          <w:b w:val="0"/>
          <w:bCs w:val="0"/>
          <w:noProof/>
          <w:sz w:val="24"/>
          <w:szCs w:val="24"/>
        </w:rPr>
      </w:pPr>
      <w:hyperlink w:anchor="_Toc201137029" w:history="1">
        <w:r w:rsidR="00D87B18" w:rsidRPr="00D87B18">
          <w:rPr>
            <w:rStyle w:val="Hyperlink"/>
            <w:noProof/>
          </w:rPr>
          <w:t>Assessment Timetable</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_Toc201137029 \h </w:instrText>
        </w:r>
        <w:r w:rsidR="00D87B18" w:rsidRPr="00D87B18">
          <w:rPr>
            <w:noProof/>
            <w:webHidden/>
          </w:rPr>
        </w:r>
        <w:r w:rsidR="00D87B18" w:rsidRPr="00D87B18">
          <w:rPr>
            <w:noProof/>
            <w:webHidden/>
          </w:rPr>
          <w:fldChar w:fldCharType="separate"/>
        </w:r>
        <w:r w:rsidR="00D87B18" w:rsidRPr="00D87B18">
          <w:rPr>
            <w:noProof/>
            <w:webHidden/>
          </w:rPr>
          <w:t>14</w:t>
        </w:r>
        <w:r w:rsidR="00D87B18" w:rsidRPr="00D87B18">
          <w:rPr>
            <w:noProof/>
            <w:webHidden/>
          </w:rPr>
          <w:fldChar w:fldCharType="end"/>
        </w:r>
      </w:hyperlink>
    </w:p>
    <w:p w14:paraId="272C3E2E" w14:textId="77777777" w:rsidR="00D87B18" w:rsidRPr="00D87B18" w:rsidRDefault="00CF3621">
      <w:pPr>
        <w:pStyle w:val="TOC2"/>
        <w:tabs>
          <w:tab w:val="right" w:leader="dot" w:pos="9350"/>
        </w:tabs>
        <w:rPr>
          <w:b w:val="0"/>
          <w:bCs w:val="0"/>
          <w:noProof/>
          <w:sz w:val="24"/>
          <w:szCs w:val="24"/>
        </w:rPr>
      </w:pPr>
      <w:hyperlink w:anchor="_Toc201137030" w:history="1">
        <w:r w:rsidR="00D87B18" w:rsidRPr="00D87B18">
          <w:rPr>
            <w:rStyle w:val="Hyperlink"/>
            <w:noProof/>
          </w:rPr>
          <w:t>Modification of the Assessment Plan</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_Toc201137030 \h </w:instrText>
        </w:r>
        <w:r w:rsidR="00D87B18" w:rsidRPr="00D87B18">
          <w:rPr>
            <w:noProof/>
            <w:webHidden/>
          </w:rPr>
        </w:r>
        <w:r w:rsidR="00D87B18" w:rsidRPr="00D87B18">
          <w:rPr>
            <w:noProof/>
            <w:webHidden/>
          </w:rPr>
          <w:fldChar w:fldCharType="separate"/>
        </w:r>
        <w:r w:rsidR="00D87B18" w:rsidRPr="00D87B18">
          <w:rPr>
            <w:noProof/>
            <w:webHidden/>
          </w:rPr>
          <w:t>14</w:t>
        </w:r>
        <w:r w:rsidR="00D87B18" w:rsidRPr="00D87B18">
          <w:rPr>
            <w:noProof/>
            <w:webHidden/>
          </w:rPr>
          <w:fldChar w:fldCharType="end"/>
        </w:r>
      </w:hyperlink>
    </w:p>
    <w:p w14:paraId="675A37E3" w14:textId="77777777" w:rsidR="00D87B18" w:rsidRPr="00D87B18" w:rsidRDefault="00CF3621">
      <w:pPr>
        <w:pStyle w:val="TOC1"/>
        <w:tabs>
          <w:tab w:val="right" w:leader="dot" w:pos="9350"/>
        </w:tabs>
        <w:rPr>
          <w:b w:val="0"/>
          <w:bCs w:val="0"/>
          <w:i w:val="0"/>
          <w:iCs w:val="0"/>
          <w:noProof/>
        </w:rPr>
      </w:pPr>
      <w:hyperlink w:anchor="_Toc201137031" w:history="1">
        <w:r w:rsidR="00D87B18" w:rsidRPr="00D87B18">
          <w:rPr>
            <w:rStyle w:val="Hyperlink"/>
            <w:noProof/>
          </w:rPr>
          <w:t>Appendix A:  Embedded Assessment Documents</w:t>
        </w:r>
        <w:r w:rsidR="00D87B18" w:rsidRPr="00D87B18">
          <w:rPr>
            <w:noProof/>
            <w:webHidden/>
          </w:rPr>
          <w:tab/>
        </w:r>
        <w:r w:rsidR="00D87B18" w:rsidRPr="00D87B18">
          <w:rPr>
            <w:noProof/>
            <w:webHidden/>
          </w:rPr>
          <w:fldChar w:fldCharType="begin"/>
        </w:r>
        <w:r w:rsidR="00D87B18" w:rsidRPr="00D87B18">
          <w:rPr>
            <w:noProof/>
            <w:webHidden/>
          </w:rPr>
          <w:instrText xml:space="preserve"> PAGEREF _Toc201137031 \h </w:instrText>
        </w:r>
        <w:r w:rsidR="00D87B18" w:rsidRPr="00D87B18">
          <w:rPr>
            <w:noProof/>
            <w:webHidden/>
          </w:rPr>
        </w:r>
        <w:r w:rsidR="00D87B18" w:rsidRPr="00D87B18">
          <w:rPr>
            <w:noProof/>
            <w:webHidden/>
          </w:rPr>
          <w:fldChar w:fldCharType="separate"/>
        </w:r>
        <w:r w:rsidR="00D87B18" w:rsidRPr="00D87B18">
          <w:rPr>
            <w:noProof/>
            <w:webHidden/>
          </w:rPr>
          <w:t>16</w:t>
        </w:r>
        <w:r w:rsidR="00D87B18" w:rsidRPr="00D87B18">
          <w:rPr>
            <w:noProof/>
            <w:webHidden/>
          </w:rPr>
          <w:fldChar w:fldCharType="end"/>
        </w:r>
      </w:hyperlink>
    </w:p>
    <w:p w14:paraId="0B1EDCC1" w14:textId="77777777" w:rsidR="00924D52" w:rsidRPr="00D87B18" w:rsidRDefault="00D87B18">
      <w:pPr>
        <w:tabs>
          <w:tab w:val="right" w:pos="9350"/>
        </w:tabs>
        <w:spacing w:line="360" w:lineRule="auto"/>
      </w:pPr>
      <w:r w:rsidRPr="00D87B18">
        <w:rPr>
          <w:b/>
          <w:bCs/>
          <w:i/>
          <w:iCs/>
        </w:rPr>
        <w:fldChar w:fldCharType="end"/>
      </w:r>
    </w:p>
    <w:p w14:paraId="3A07910F" w14:textId="77777777" w:rsidR="00985997" w:rsidRPr="00D87B18" w:rsidRDefault="00985997" w:rsidP="00F24D3E">
      <w:pPr>
        <w:pStyle w:val="Heading1"/>
        <w:sectPr w:rsidR="00985997" w:rsidRPr="00D87B18" w:rsidSect="00933EF7">
          <w:footerReference w:type="default" r:id="rId12"/>
          <w:pgSz w:w="12240" w:h="15840" w:code="1"/>
          <w:pgMar w:top="1440" w:right="1440" w:bottom="1440" w:left="1440" w:header="720" w:footer="720" w:gutter="0"/>
          <w:cols w:space="720"/>
          <w:docGrid w:linePitch="360"/>
        </w:sectPr>
      </w:pPr>
    </w:p>
    <w:p w14:paraId="4F54C816" w14:textId="77777777" w:rsidR="00924D52" w:rsidRPr="00D87B18" w:rsidRDefault="00924D52" w:rsidP="00F24D3E">
      <w:pPr>
        <w:pStyle w:val="Heading1"/>
        <w:rPr>
          <w:rFonts w:ascii="Times New Roman" w:hAnsi="Times New Roman"/>
        </w:rPr>
      </w:pPr>
      <w:bookmarkStart w:id="3" w:name="_Toc112752969"/>
      <w:bookmarkStart w:id="4" w:name="_Toc150071842"/>
      <w:bookmarkStart w:id="5" w:name="_Toc150695208"/>
      <w:bookmarkStart w:id="6" w:name="_Toc201137008"/>
      <w:r w:rsidRPr="00D87B18">
        <w:rPr>
          <w:rFonts w:ascii="Times New Roman" w:hAnsi="Times New Roman"/>
        </w:rPr>
        <w:lastRenderedPageBreak/>
        <w:t>Introduction</w:t>
      </w:r>
      <w:bookmarkEnd w:id="3"/>
      <w:bookmarkEnd w:id="4"/>
      <w:bookmarkEnd w:id="5"/>
      <w:bookmarkEnd w:id="6"/>
    </w:p>
    <w:p w14:paraId="028CD374" w14:textId="77777777" w:rsidR="00797773" w:rsidRPr="00D87B18" w:rsidRDefault="00924D52">
      <w:pPr>
        <w:pStyle w:val="BodyText2"/>
        <w:rPr>
          <w:rFonts w:ascii="Times" w:hAnsi="Times"/>
          <w:color w:val="auto"/>
        </w:rPr>
      </w:pPr>
      <w:bookmarkStart w:id="7" w:name="_Toc201137009"/>
      <w:bookmarkEnd w:id="2"/>
      <w:r w:rsidRPr="00D87B18">
        <w:rPr>
          <w:rStyle w:val="Heading2Char"/>
          <w:rFonts w:ascii="Times New Roman" w:hAnsi="Times New Roman"/>
          <w:color w:val="auto"/>
        </w:rPr>
        <w:t>Purpose</w:t>
      </w:r>
      <w:bookmarkEnd w:id="7"/>
      <w:r w:rsidR="00870DA4" w:rsidRPr="00D87B18">
        <w:rPr>
          <w:rFonts w:ascii="Times" w:hAnsi="Times"/>
          <w:b/>
          <w:bCs/>
          <w:color w:val="auto"/>
        </w:rPr>
        <w:t>:</w:t>
      </w:r>
      <w:r w:rsidRPr="00D87B18">
        <w:rPr>
          <w:rFonts w:ascii="Times" w:hAnsi="Times"/>
          <w:color w:val="auto"/>
        </w:rPr>
        <w:t xml:space="preserve"> </w:t>
      </w:r>
      <w:r w:rsidR="00672468" w:rsidRPr="00D87B18">
        <w:rPr>
          <w:rFonts w:ascii="Times" w:hAnsi="Times"/>
          <w:color w:val="auto"/>
        </w:rPr>
        <w:t xml:space="preserve">The purpose of this document is to provide a guide for assessment of the academic effectiveness of the Master of Public Administration degree program (MPA) and to provide resource for use in continuous improvement of the program.  </w:t>
      </w:r>
    </w:p>
    <w:p w14:paraId="6F98CC59" w14:textId="77777777" w:rsidR="00924D52" w:rsidRPr="00D87B18" w:rsidRDefault="009A1B9F">
      <w:pPr>
        <w:pStyle w:val="BodyText2"/>
        <w:rPr>
          <w:rFonts w:ascii="Times" w:hAnsi="Times"/>
          <w:color w:val="auto"/>
        </w:rPr>
      </w:pPr>
      <w:r w:rsidRPr="00D87B18">
        <w:rPr>
          <w:rFonts w:ascii="Times" w:hAnsi="Times"/>
          <w:color w:val="auto"/>
        </w:rPr>
        <w:t>This document</w:t>
      </w:r>
      <w:r w:rsidR="00924D52" w:rsidRPr="00D87B18">
        <w:rPr>
          <w:rFonts w:ascii="Times" w:hAnsi="Times"/>
          <w:color w:val="auto"/>
        </w:rPr>
        <w:t xml:space="preserve"> addresses the needs of </w:t>
      </w:r>
      <w:r w:rsidR="009E1CA2" w:rsidRPr="00D87B18">
        <w:rPr>
          <w:rFonts w:ascii="Times" w:hAnsi="Times"/>
          <w:color w:val="auto"/>
        </w:rPr>
        <w:t>accreditors</w:t>
      </w:r>
      <w:r w:rsidR="006917BC" w:rsidRPr="00D87B18">
        <w:rPr>
          <w:rStyle w:val="FootnoteReference"/>
          <w:rFonts w:ascii="Times" w:hAnsi="Times"/>
          <w:color w:val="auto"/>
        </w:rPr>
        <w:footnoteReference w:id="1"/>
      </w:r>
      <w:r w:rsidR="009E1CA2" w:rsidRPr="00D87B18">
        <w:rPr>
          <w:rFonts w:ascii="Times" w:hAnsi="Times"/>
          <w:color w:val="auto"/>
        </w:rPr>
        <w:t xml:space="preserve">, </w:t>
      </w:r>
      <w:r w:rsidR="00924D52" w:rsidRPr="00D87B18">
        <w:rPr>
          <w:rFonts w:ascii="Times" w:hAnsi="Times"/>
          <w:color w:val="auto"/>
        </w:rPr>
        <w:t>administrators</w:t>
      </w:r>
      <w:r w:rsidR="006917BC" w:rsidRPr="00D87B18">
        <w:rPr>
          <w:rStyle w:val="FootnoteReference"/>
          <w:rFonts w:ascii="Times" w:hAnsi="Times"/>
          <w:color w:val="auto"/>
        </w:rPr>
        <w:footnoteReference w:id="2"/>
      </w:r>
      <w:r w:rsidR="00924D52" w:rsidRPr="00D87B18">
        <w:rPr>
          <w:rFonts w:ascii="Times" w:hAnsi="Times"/>
          <w:color w:val="auto"/>
        </w:rPr>
        <w:t xml:space="preserve">, external stakeholders, students, and faculty.  </w:t>
      </w:r>
      <w:r w:rsidR="009E1CA2" w:rsidRPr="00D87B18">
        <w:rPr>
          <w:rFonts w:ascii="Times" w:hAnsi="Times"/>
          <w:color w:val="auto"/>
        </w:rPr>
        <w:t xml:space="preserve">Accreditors set general standards including the requirement that actual results agree with </w:t>
      </w:r>
      <w:r w:rsidRPr="00D87B18">
        <w:rPr>
          <w:rFonts w:ascii="Times" w:hAnsi="Times"/>
          <w:color w:val="auto"/>
        </w:rPr>
        <w:t xml:space="preserve">the </w:t>
      </w:r>
      <w:r w:rsidR="009E1CA2" w:rsidRPr="00D87B18">
        <w:rPr>
          <w:rFonts w:ascii="Times" w:hAnsi="Times"/>
          <w:color w:val="auto"/>
        </w:rPr>
        <w:t xml:space="preserve">stated mission.  </w:t>
      </w:r>
      <w:r w:rsidR="00924D52" w:rsidRPr="00D87B18">
        <w:rPr>
          <w:rFonts w:ascii="Times" w:hAnsi="Times"/>
          <w:color w:val="auto"/>
        </w:rPr>
        <w:t xml:space="preserve">Administrators are accountable for program effectiveness and need to know whether the program is delivering promised learning outcomes.  External stakeholders </w:t>
      </w:r>
      <w:r w:rsidRPr="00D87B18">
        <w:rPr>
          <w:rFonts w:ascii="Times" w:hAnsi="Times"/>
          <w:color w:val="auto"/>
        </w:rPr>
        <w:t>value the</w:t>
      </w:r>
      <w:r w:rsidR="00924D52" w:rsidRPr="00D87B18">
        <w:rPr>
          <w:rFonts w:ascii="Times" w:hAnsi="Times"/>
          <w:color w:val="auto"/>
        </w:rPr>
        <w:t xml:space="preserve"> program</w:t>
      </w:r>
      <w:r w:rsidRPr="00D87B18">
        <w:rPr>
          <w:rFonts w:ascii="Times" w:hAnsi="Times"/>
          <w:color w:val="auto"/>
        </w:rPr>
        <w:t>’s</w:t>
      </w:r>
      <w:r w:rsidR="00924D52" w:rsidRPr="00D87B18">
        <w:rPr>
          <w:rFonts w:ascii="Times" w:hAnsi="Times"/>
          <w:color w:val="auto"/>
        </w:rPr>
        <w:t xml:space="preserve"> effectiveness and also require and deserve empirical assurance of learning.  </w:t>
      </w:r>
      <w:r w:rsidR="004A696C" w:rsidRPr="00D87B18">
        <w:rPr>
          <w:rFonts w:ascii="Times" w:hAnsi="Times"/>
          <w:color w:val="auto"/>
        </w:rPr>
        <w:t xml:space="preserve">Students need to know what they can reasonably expect to achieve from their significant investment of time and money in the </w:t>
      </w:r>
      <w:r w:rsidR="00672468" w:rsidRPr="00D87B18">
        <w:rPr>
          <w:rFonts w:ascii="Times" w:hAnsi="Times"/>
          <w:color w:val="auto"/>
        </w:rPr>
        <w:t>MPA</w:t>
      </w:r>
      <w:r w:rsidR="004A696C" w:rsidRPr="00D87B18">
        <w:rPr>
          <w:rFonts w:ascii="Times" w:hAnsi="Times"/>
          <w:color w:val="auto"/>
        </w:rPr>
        <w:t xml:space="preserve"> program.  </w:t>
      </w:r>
      <w:r w:rsidR="00924D52" w:rsidRPr="00D87B18">
        <w:rPr>
          <w:rFonts w:ascii="Times" w:hAnsi="Times"/>
          <w:color w:val="auto"/>
        </w:rPr>
        <w:t xml:space="preserve">The faculty is responsible for instructional effectiveness and for making continuous improvements to the program based on </w:t>
      </w:r>
      <w:r w:rsidRPr="00D87B18">
        <w:rPr>
          <w:rFonts w:ascii="Times" w:hAnsi="Times"/>
          <w:color w:val="auto"/>
        </w:rPr>
        <w:t>the analysis of collected assessment data</w:t>
      </w:r>
      <w:r w:rsidR="004A696C" w:rsidRPr="00D87B18">
        <w:rPr>
          <w:rFonts w:ascii="Times" w:hAnsi="Times"/>
          <w:color w:val="auto"/>
        </w:rPr>
        <w:t>.</w:t>
      </w:r>
    </w:p>
    <w:p w14:paraId="53E46FEA" w14:textId="77777777" w:rsidR="00672468" w:rsidRPr="00D87B18" w:rsidRDefault="00672468" w:rsidP="00672468">
      <w:pPr>
        <w:pStyle w:val="BodyText2"/>
        <w:rPr>
          <w:rFonts w:ascii="Times" w:hAnsi="Times"/>
          <w:color w:val="auto"/>
        </w:rPr>
      </w:pPr>
      <w:r w:rsidRPr="00D87B18">
        <w:rPr>
          <w:rFonts w:ascii="Times" w:hAnsi="Times"/>
          <w:color w:val="auto"/>
        </w:rPr>
        <w:t>This p</w:t>
      </w:r>
      <w:r w:rsidR="00AD31EE" w:rsidRPr="00D87B18">
        <w:rPr>
          <w:rFonts w:ascii="Times" w:hAnsi="Times"/>
          <w:color w:val="auto"/>
        </w:rPr>
        <w:t xml:space="preserve">lan is under revision following </w:t>
      </w:r>
      <w:r w:rsidRPr="00D87B18">
        <w:rPr>
          <w:rFonts w:ascii="Times" w:hAnsi="Times"/>
          <w:color w:val="auto"/>
        </w:rPr>
        <w:t xml:space="preserve">the </w:t>
      </w:r>
      <w:r w:rsidR="00AD31EE" w:rsidRPr="00D87B18">
        <w:rPr>
          <w:rFonts w:ascii="Times" w:hAnsi="Times"/>
          <w:color w:val="auto"/>
        </w:rPr>
        <w:t>Public Administration Department Five-Year Cyclic Program Review, completed June 2006.  The plan seeks t</w:t>
      </w:r>
      <w:r w:rsidR="009D1C4C" w:rsidRPr="00D87B18">
        <w:rPr>
          <w:rFonts w:ascii="Times" w:hAnsi="Times"/>
          <w:color w:val="auto"/>
        </w:rPr>
        <w:t>o incorporate Review Committee r</w:t>
      </w:r>
      <w:r w:rsidR="00AD31EE" w:rsidRPr="00D87B18">
        <w:rPr>
          <w:rFonts w:ascii="Times" w:hAnsi="Times"/>
          <w:color w:val="auto"/>
        </w:rPr>
        <w:t>ecommendations</w:t>
      </w:r>
      <w:r w:rsidR="009D1C4C" w:rsidRPr="00D87B18">
        <w:rPr>
          <w:rFonts w:ascii="Times" w:hAnsi="Times"/>
          <w:color w:val="auto"/>
        </w:rPr>
        <w:t xml:space="preserve"> and recently approved revisions to the </w:t>
      </w:r>
      <w:r w:rsidR="009D1C4C" w:rsidRPr="00D87B18">
        <w:t>National Association of Schools of Public Affairs (NASPAA).</w:t>
      </w:r>
    </w:p>
    <w:p w14:paraId="7DA63F0B" w14:textId="77777777" w:rsidR="00FE5454" w:rsidRPr="00D87B18" w:rsidRDefault="00FE5454" w:rsidP="009D1C4C">
      <w:pPr>
        <w:pStyle w:val="Heading1"/>
        <w:rPr>
          <w:rFonts w:ascii="Times New Roman" w:hAnsi="Times New Roman"/>
          <w:bCs/>
        </w:rPr>
      </w:pPr>
      <w:bookmarkStart w:id="8" w:name="_Toc201137010"/>
      <w:smartTag w:uri="urn:schemas-microsoft-com:office:smarttags" w:element="place">
        <w:smartTag w:uri="urn:schemas-microsoft-com:office:smarttags" w:element="City">
          <w:r w:rsidRPr="00D87B18">
            <w:rPr>
              <w:rFonts w:ascii="Times New Roman" w:hAnsi="Times New Roman"/>
              <w:bCs/>
            </w:rPr>
            <w:t>Mission</w:t>
          </w:r>
        </w:smartTag>
      </w:smartTag>
      <w:bookmarkEnd w:id="8"/>
    </w:p>
    <w:p w14:paraId="6DCD7D6F" w14:textId="77777777" w:rsidR="009715C6" w:rsidRPr="00D87B18" w:rsidRDefault="009715C6" w:rsidP="00FE5454">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center"/>
        <w:rPr>
          <w:b/>
          <w:sz w:val="28"/>
          <w:szCs w:val="28"/>
        </w:rPr>
      </w:pPr>
    </w:p>
    <w:p w14:paraId="7F51EFA6" w14:textId="77777777" w:rsidR="00793C89" w:rsidRPr="00D87B18" w:rsidRDefault="00FE5454" w:rsidP="00793C89">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D87B18">
        <w:t xml:space="preserve">The mission of the </w:t>
      </w:r>
      <w:r w:rsidR="009715C6" w:rsidRPr="00D87B18">
        <w:t xml:space="preserve">Department of </w:t>
      </w:r>
      <w:r w:rsidRPr="00D87B18">
        <w:t xml:space="preserve">Public Administration is derived from </w:t>
      </w:r>
      <w:r w:rsidR="00152EFF" w:rsidRPr="00D87B18">
        <w:t xml:space="preserve">and consistent with </w:t>
      </w:r>
      <w:r w:rsidRPr="00D87B18">
        <w:t>the UAA Mission</w:t>
      </w:r>
      <w:r w:rsidRPr="00D87B18">
        <w:rPr>
          <w:rStyle w:val="FootnoteReference"/>
        </w:rPr>
        <w:footnoteReference w:id="3"/>
      </w:r>
      <w:r w:rsidRPr="00D87B18">
        <w:t xml:space="preserve"> and the mission of the </w:t>
      </w:r>
      <w:smartTag w:uri="urn:schemas-microsoft-com:office:smarttags" w:element="place">
        <w:smartTag w:uri="urn:schemas-microsoft-com:office:smarttags" w:element="PlaceType">
          <w:r w:rsidRPr="00D87B18">
            <w:t>College</w:t>
          </w:r>
        </w:smartTag>
        <w:r w:rsidRPr="00D87B18">
          <w:t xml:space="preserve"> of </w:t>
        </w:r>
        <w:smartTag w:uri="urn:schemas-microsoft-com:office:smarttags" w:element="PlaceName">
          <w:r w:rsidRPr="00D87B18">
            <w:t>Business</w:t>
          </w:r>
        </w:smartTag>
      </w:smartTag>
      <w:r w:rsidRPr="00D87B18">
        <w:t xml:space="preserve"> and Public Pol</w:t>
      </w:r>
      <w:r w:rsidR="00793C89" w:rsidRPr="00D87B18">
        <w:t>icy</w:t>
      </w:r>
      <w:r w:rsidR="00152EFF" w:rsidRPr="00D87B18">
        <w:rPr>
          <w:rStyle w:val="FootnoteReference"/>
        </w:rPr>
        <w:footnoteReference w:id="4"/>
      </w:r>
      <w:r w:rsidR="00793C89" w:rsidRPr="00D87B18">
        <w:t>.</w:t>
      </w:r>
      <w:r w:rsidR="00152EFF" w:rsidRPr="00D87B18">
        <w:t xml:space="preserve"> In addition, it responds to </w:t>
      </w:r>
      <w:smartTag w:uri="urn:schemas-microsoft-com:office:smarttags" w:element="place">
        <w:smartTag w:uri="urn:schemas-microsoft-com:office:smarttags" w:element="PlaceType">
          <w:r w:rsidR="00152EFF" w:rsidRPr="00D87B18">
            <w:t>University</w:t>
          </w:r>
        </w:smartTag>
        <w:r w:rsidR="00152EFF" w:rsidRPr="00D87B18">
          <w:t xml:space="preserve"> of </w:t>
        </w:r>
        <w:smartTag w:uri="urn:schemas-microsoft-com:office:smarttags" w:element="PlaceName">
          <w:r w:rsidR="00152EFF" w:rsidRPr="00D87B18">
            <w:t>Alaska Program Review</w:t>
          </w:r>
        </w:smartTag>
      </w:smartTag>
      <w:r w:rsidR="00152EFF" w:rsidRPr="00D87B18">
        <w:t xml:space="preserve"> suggestions made by senior administrators during the 2007 review cycle and the 2006 Department of Public Administration Cyclic Program Review.</w:t>
      </w:r>
      <w:r w:rsidR="00152EFF" w:rsidRPr="00D87B18">
        <w:rPr>
          <w:rStyle w:val="FootnoteReference"/>
        </w:rPr>
        <w:footnoteReference w:id="5"/>
      </w:r>
    </w:p>
    <w:p w14:paraId="0563BBE7" w14:textId="77777777" w:rsidR="009D1C4C" w:rsidRPr="00D87B18" w:rsidRDefault="009D1C4C" w:rsidP="00793C89">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5E2C457D" w14:textId="77777777" w:rsidR="00793C89" w:rsidRPr="00D87B18" w:rsidRDefault="00793C89" w:rsidP="009D1C4C">
      <w:pPr>
        <w:pStyle w:val="Heading2"/>
        <w:rPr>
          <w:rFonts w:ascii="Times New Roman" w:hAnsi="Times New Roman"/>
          <w:sz w:val="24"/>
        </w:rPr>
      </w:pPr>
      <w:bookmarkStart w:id="9" w:name="_Toc201137011"/>
      <w:smartTag w:uri="urn:schemas-microsoft-com:office:smarttags" w:element="PlaceType">
        <w:r w:rsidRPr="00D87B18">
          <w:rPr>
            <w:rFonts w:ascii="Times New Roman" w:hAnsi="Times New Roman"/>
            <w:sz w:val="24"/>
          </w:rPr>
          <w:t>University</w:t>
        </w:r>
      </w:smartTag>
      <w:r w:rsidRPr="00D87B18">
        <w:rPr>
          <w:rFonts w:ascii="Times New Roman" w:hAnsi="Times New Roman"/>
          <w:sz w:val="24"/>
        </w:rPr>
        <w:t xml:space="preserve"> of </w:t>
      </w:r>
      <w:smartTag w:uri="urn:schemas-microsoft-com:office:smarttags" w:element="PlaceName">
        <w:r w:rsidRPr="00D87B18">
          <w:rPr>
            <w:rFonts w:ascii="Times New Roman" w:hAnsi="Times New Roman"/>
            <w:sz w:val="24"/>
          </w:rPr>
          <w:t>Alaska</w:t>
        </w:r>
      </w:smartTag>
      <w:r w:rsidRPr="00D87B18">
        <w:rPr>
          <w:rFonts w:ascii="Times New Roman" w:hAnsi="Times New Roman"/>
          <w:sz w:val="24"/>
        </w:rPr>
        <w:t xml:space="preserve"> </w:t>
      </w:r>
      <w:smartTag w:uri="urn:schemas-microsoft-com:office:smarttags" w:element="City">
        <w:r w:rsidRPr="00D87B18">
          <w:rPr>
            <w:rFonts w:ascii="Times New Roman" w:hAnsi="Times New Roman"/>
            <w:sz w:val="24"/>
          </w:rPr>
          <w:t>Anchorage</w:t>
        </w:r>
      </w:smartTag>
      <w:r w:rsidRPr="00D87B18">
        <w:rPr>
          <w:rFonts w:ascii="Times New Roman" w:hAnsi="Times New Roman"/>
          <w:sz w:val="24"/>
        </w:rPr>
        <w:t xml:space="preserve"> </w:t>
      </w:r>
      <w:smartTag w:uri="urn:schemas-microsoft-com:office:smarttags" w:element="place">
        <w:r w:rsidRPr="00D87B18">
          <w:rPr>
            <w:rFonts w:ascii="Times New Roman" w:hAnsi="Times New Roman"/>
            <w:sz w:val="24"/>
          </w:rPr>
          <w:t>Mission</w:t>
        </w:r>
      </w:smartTag>
      <w:r w:rsidRPr="00D87B18">
        <w:rPr>
          <w:rFonts w:ascii="Times New Roman" w:hAnsi="Times New Roman"/>
          <w:sz w:val="24"/>
        </w:rPr>
        <w:t xml:space="preserve"> Statement</w:t>
      </w:r>
      <w:bookmarkEnd w:id="9"/>
    </w:p>
    <w:p w14:paraId="6372AB91" w14:textId="77777777" w:rsidR="00793C89" w:rsidRPr="00D87B18" w:rsidRDefault="00793C89" w:rsidP="00793C89">
      <w:pPr>
        <w:spacing w:before="100" w:beforeAutospacing="1"/>
      </w:pPr>
      <w:r w:rsidRPr="00D87B18">
        <w:t xml:space="preserve">The mission of the </w:t>
      </w:r>
      <w:smartTag w:uri="urn:schemas-microsoft-com:office:smarttags" w:element="place">
        <w:smartTag w:uri="urn:schemas-microsoft-com:office:smarttags" w:element="PlaceType">
          <w:r w:rsidRPr="00D87B18">
            <w:t>University</w:t>
          </w:r>
        </w:smartTag>
        <w:r w:rsidRPr="00D87B18">
          <w:t xml:space="preserve"> of </w:t>
        </w:r>
        <w:smartTag w:uri="urn:schemas-microsoft-com:office:smarttags" w:element="PlaceName">
          <w:r w:rsidRPr="00D87B18">
            <w:t>Alaska Anchorage</w:t>
          </w:r>
        </w:smartTag>
      </w:smartTag>
      <w:r w:rsidRPr="00D87B18">
        <w:t xml:space="preserve"> is to discover and disseminate knowledge through teaching, research, engagement, and creative expression.</w:t>
      </w:r>
      <w:r w:rsidRPr="00D87B18">
        <w:br/>
        <w:t> </w:t>
      </w:r>
      <w:r w:rsidRPr="00D87B18">
        <w:br/>
        <w:t xml:space="preserve">Located in </w:t>
      </w:r>
      <w:smartTag w:uri="urn:schemas-microsoft-com:office:smarttags" w:element="City">
        <w:r w:rsidRPr="00D87B18">
          <w:t>Anchorage</w:t>
        </w:r>
      </w:smartTag>
      <w:r w:rsidRPr="00D87B18">
        <w:t xml:space="preserve"> and on community campuses in Southcentral </w:t>
      </w:r>
      <w:smartTag w:uri="urn:schemas-microsoft-com:office:smarttags" w:element="State">
        <w:smartTag w:uri="urn:schemas-microsoft-com:office:smarttags" w:element="place">
          <w:r w:rsidRPr="00D87B18">
            <w:t>Alaska</w:t>
          </w:r>
        </w:smartTag>
      </w:smartTag>
      <w:r w:rsidRPr="00D87B18">
        <w:t>, UAA is committed to serving the higher education needs of the state, its communities, and its diverse peoples.</w:t>
      </w:r>
      <w:r w:rsidRPr="00D87B18">
        <w:br/>
        <w:t> </w:t>
      </w:r>
      <w:r w:rsidRPr="00D87B18">
        <w:br/>
        <w:t xml:space="preserve">The </w:t>
      </w:r>
      <w:smartTag w:uri="urn:schemas-microsoft-com:office:smarttags" w:element="place">
        <w:smartTag w:uri="urn:schemas-microsoft-com:office:smarttags" w:element="PlaceType">
          <w:r w:rsidRPr="00D87B18">
            <w:t>University</w:t>
          </w:r>
        </w:smartTag>
        <w:r w:rsidRPr="00D87B18">
          <w:t xml:space="preserve"> of </w:t>
        </w:r>
        <w:smartTag w:uri="urn:schemas-microsoft-com:office:smarttags" w:element="PlaceName">
          <w:r w:rsidRPr="00D87B18">
            <w:t>Alaska Anchorage</w:t>
          </w:r>
        </w:smartTag>
      </w:smartTag>
      <w:r w:rsidRPr="00D87B18">
        <w:t xml:space="preserve"> is an open access university with academic programs leading to occupational endorsements; undergraduate and graduate certificates; and associate, </w:t>
      </w:r>
      <w:r w:rsidRPr="00D87B18">
        <w:lastRenderedPageBreak/>
        <w:t>baccalaureate, and graduate degrees in a rich, diverse, and inclusive environment.</w:t>
      </w:r>
      <w:r w:rsidRPr="00D87B18">
        <w:br/>
      </w:r>
    </w:p>
    <w:p w14:paraId="412CCDBD" w14:textId="77777777" w:rsidR="009715C6" w:rsidRPr="00D87B18" w:rsidRDefault="009715C6" w:rsidP="00FE5454">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rPr>
      </w:pPr>
    </w:p>
    <w:p w14:paraId="6EDDB35C" w14:textId="77777777" w:rsidR="00FE5454" w:rsidRPr="00D87B18" w:rsidRDefault="00793C89" w:rsidP="009D1C4C">
      <w:pPr>
        <w:pStyle w:val="Heading2"/>
        <w:rPr>
          <w:rFonts w:ascii="Times New Roman" w:hAnsi="Times New Roman"/>
          <w:sz w:val="24"/>
        </w:rPr>
      </w:pPr>
      <w:bookmarkStart w:id="10" w:name="_Toc201137012"/>
      <w:smartTag w:uri="urn:schemas-microsoft-com:office:smarttags" w:element="PlaceType">
        <w:r w:rsidRPr="00D87B18">
          <w:rPr>
            <w:rFonts w:ascii="Times New Roman" w:hAnsi="Times New Roman"/>
            <w:sz w:val="24"/>
          </w:rPr>
          <w:t>College</w:t>
        </w:r>
      </w:smartTag>
      <w:r w:rsidRPr="00D87B18">
        <w:rPr>
          <w:rFonts w:ascii="Times New Roman" w:hAnsi="Times New Roman"/>
          <w:sz w:val="24"/>
        </w:rPr>
        <w:t xml:space="preserve"> of </w:t>
      </w:r>
      <w:smartTag w:uri="urn:schemas-microsoft-com:office:smarttags" w:element="PlaceName">
        <w:r w:rsidRPr="00D87B18">
          <w:rPr>
            <w:rFonts w:ascii="Times New Roman" w:hAnsi="Times New Roman"/>
            <w:sz w:val="24"/>
          </w:rPr>
          <w:t>Business</w:t>
        </w:r>
      </w:smartTag>
      <w:r w:rsidRPr="00D87B18">
        <w:rPr>
          <w:rFonts w:ascii="Times New Roman" w:hAnsi="Times New Roman"/>
          <w:sz w:val="24"/>
        </w:rPr>
        <w:t xml:space="preserve"> and Public Administration</w:t>
      </w:r>
      <w:r w:rsidR="009D1C4C" w:rsidRPr="00D87B18">
        <w:rPr>
          <w:rFonts w:ascii="Times New Roman" w:hAnsi="Times New Roman"/>
          <w:sz w:val="24"/>
        </w:rPr>
        <w:t xml:space="preserve"> </w:t>
      </w:r>
      <w:smartTag w:uri="urn:schemas-microsoft-com:office:smarttags" w:element="place">
        <w:smartTag w:uri="urn:schemas-microsoft-com:office:smarttags" w:element="City">
          <w:r w:rsidR="009D1C4C" w:rsidRPr="00D87B18">
            <w:rPr>
              <w:rFonts w:ascii="Times New Roman" w:hAnsi="Times New Roman"/>
              <w:sz w:val="24"/>
            </w:rPr>
            <w:t>Mission</w:t>
          </w:r>
        </w:smartTag>
      </w:smartTag>
      <w:bookmarkEnd w:id="10"/>
    </w:p>
    <w:p w14:paraId="4A36B93F" w14:textId="77777777" w:rsidR="00793C89" w:rsidRPr="00D87B18" w:rsidRDefault="00793C89" w:rsidP="00FE5454">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rPr>
      </w:pPr>
    </w:p>
    <w:p w14:paraId="306D8439" w14:textId="77777777" w:rsidR="00793C89" w:rsidRPr="00D87B18" w:rsidRDefault="00793C89" w:rsidP="00FE5454">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rPr>
      </w:pPr>
      <w:r w:rsidRPr="00D87B18">
        <w:t xml:space="preserve">The </w:t>
      </w:r>
      <w:smartTag w:uri="urn:schemas-microsoft-com:office:smarttags" w:element="PlaceType">
        <w:r w:rsidRPr="00D87B18">
          <w:t>College</w:t>
        </w:r>
      </w:smartTag>
      <w:r w:rsidRPr="00D87B18">
        <w:t xml:space="preserve"> of </w:t>
      </w:r>
      <w:smartTag w:uri="urn:schemas-microsoft-com:office:smarttags" w:element="PlaceName">
        <w:r w:rsidRPr="00D87B18">
          <w:t>Business</w:t>
        </w:r>
      </w:smartTag>
      <w:r w:rsidRPr="00D87B18">
        <w:t xml:space="preserve"> and Public Policy serves </w:t>
      </w:r>
      <w:smartTag w:uri="urn:schemas-microsoft-com:office:smarttags" w:element="State">
        <w:smartTag w:uri="urn:schemas-microsoft-com:office:smarttags" w:element="place">
          <w:r w:rsidRPr="00D87B18">
            <w:t>Alaska</w:t>
          </w:r>
        </w:smartTag>
      </w:smartTag>
      <w:r w:rsidRPr="00D87B18">
        <w:t xml:space="preserve"> and global communities by training and educating the work force, promoting excellence in public, private and non-profit management and related business disciplines; providing professional assistance to public, private and non-profit organizations; and conducting basic, applied and pedagogical research.</w:t>
      </w:r>
    </w:p>
    <w:p w14:paraId="74764C7B" w14:textId="77777777" w:rsidR="00793C89" w:rsidRPr="00D87B18" w:rsidRDefault="00793C89" w:rsidP="00FE5454">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rPr>
      </w:pPr>
    </w:p>
    <w:p w14:paraId="7960F959" w14:textId="77777777" w:rsidR="00793C89" w:rsidRPr="00D87B18" w:rsidRDefault="009715C6" w:rsidP="009D1C4C">
      <w:pPr>
        <w:pStyle w:val="Heading2"/>
        <w:rPr>
          <w:rFonts w:ascii="Times New Roman" w:hAnsi="Times New Roman"/>
          <w:sz w:val="24"/>
        </w:rPr>
      </w:pPr>
      <w:bookmarkStart w:id="11" w:name="_Toc201137013"/>
      <w:r w:rsidRPr="00D87B18">
        <w:rPr>
          <w:rFonts w:ascii="Times New Roman" w:hAnsi="Times New Roman"/>
          <w:sz w:val="24"/>
        </w:rPr>
        <w:t xml:space="preserve">Department of </w:t>
      </w:r>
      <w:proofErr w:type="spellStart"/>
      <w:r w:rsidR="00793C89" w:rsidRPr="00D87B18">
        <w:rPr>
          <w:rFonts w:ascii="Times New Roman" w:hAnsi="Times New Roman"/>
          <w:sz w:val="24"/>
        </w:rPr>
        <w:t>Pubic</w:t>
      </w:r>
      <w:proofErr w:type="spellEnd"/>
      <w:r w:rsidR="00793C89" w:rsidRPr="00D87B18">
        <w:rPr>
          <w:rFonts w:ascii="Times New Roman" w:hAnsi="Times New Roman"/>
          <w:sz w:val="24"/>
        </w:rPr>
        <w:t xml:space="preserve"> Administration</w:t>
      </w:r>
      <w:r w:rsidR="009D1C4C" w:rsidRPr="00D87B18">
        <w:rPr>
          <w:rFonts w:ascii="Times New Roman" w:hAnsi="Times New Roman"/>
          <w:sz w:val="24"/>
        </w:rPr>
        <w:t xml:space="preserve"> </w:t>
      </w:r>
      <w:smartTag w:uri="urn:schemas-microsoft-com:office:smarttags" w:element="place">
        <w:smartTag w:uri="urn:schemas-microsoft-com:office:smarttags" w:element="City">
          <w:r w:rsidR="009D1C4C" w:rsidRPr="00D87B18">
            <w:rPr>
              <w:rFonts w:ascii="Times New Roman" w:hAnsi="Times New Roman"/>
              <w:sz w:val="24"/>
            </w:rPr>
            <w:t>Mission</w:t>
          </w:r>
        </w:smartTag>
      </w:smartTag>
      <w:bookmarkEnd w:id="11"/>
      <w:r w:rsidR="009D1C4C" w:rsidRPr="00D87B18">
        <w:rPr>
          <w:rFonts w:ascii="Times New Roman" w:hAnsi="Times New Roman"/>
          <w:sz w:val="24"/>
        </w:rPr>
        <w:tab/>
      </w:r>
    </w:p>
    <w:p w14:paraId="184AD67A" w14:textId="77777777" w:rsidR="00793C89" w:rsidRPr="00D87B18" w:rsidRDefault="00793C89" w:rsidP="00FE5454">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p>
    <w:p w14:paraId="0A12C5A3" w14:textId="77777777" w:rsidR="00FE5454" w:rsidRPr="00D87B18" w:rsidRDefault="00FE5454" w:rsidP="00FE5454">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D87B18">
        <w:t xml:space="preserve">The </w:t>
      </w:r>
      <w:r w:rsidR="009715C6" w:rsidRPr="00D87B18">
        <w:t>Department of</w:t>
      </w:r>
      <w:r w:rsidRPr="00D87B18">
        <w:t xml:space="preserve"> Public Administration enhances the quality and effectiveness of services provided to residents of </w:t>
      </w:r>
      <w:smartTag w:uri="urn:schemas-microsoft-com:office:smarttags" w:element="place">
        <w:smartTag w:uri="urn:schemas-microsoft-com:office:smarttags" w:element="State">
          <w:r w:rsidRPr="00D87B18">
            <w:t>Alaska</w:t>
          </w:r>
        </w:smartTag>
      </w:smartTag>
      <w:r w:rsidRPr="00D87B18">
        <w:t xml:space="preserve"> and the globe by preparing professionals in the areas of public administration and policy analysis through quality training and education programs, by providing technical assistance to public administrators and agencies and conducting management and policy research. </w:t>
      </w:r>
    </w:p>
    <w:p w14:paraId="0D34C45A" w14:textId="77777777" w:rsidR="00A571DB" w:rsidRPr="00D87B18" w:rsidRDefault="00A571DB" w:rsidP="00A571DB">
      <w:pPr>
        <w:rPr>
          <w:b/>
        </w:rPr>
      </w:pPr>
    </w:p>
    <w:p w14:paraId="3C5D64C5" w14:textId="77777777" w:rsidR="00A571DB" w:rsidRPr="00D87B18" w:rsidRDefault="00A571DB" w:rsidP="00A571DB">
      <w:pPr>
        <w:pStyle w:val="Heading1"/>
        <w:rPr>
          <w:rFonts w:ascii="Times New Roman" w:hAnsi="Times New Roman"/>
          <w:bCs/>
        </w:rPr>
      </w:pPr>
      <w:bookmarkStart w:id="12" w:name="_Toc201137014"/>
      <w:r w:rsidRPr="00D87B18">
        <w:rPr>
          <w:rFonts w:ascii="Times New Roman" w:hAnsi="Times New Roman"/>
          <w:bCs/>
        </w:rPr>
        <w:t>Market Need for Qualified Public Administrators and Policy Analysts</w:t>
      </w:r>
      <w:bookmarkEnd w:id="12"/>
    </w:p>
    <w:p w14:paraId="65EFBC9F" w14:textId="77777777" w:rsidR="00A571DB" w:rsidRPr="00D87B18" w:rsidRDefault="00A571DB" w:rsidP="00A571DB">
      <w:pPr>
        <w:rPr>
          <w:b/>
        </w:rPr>
      </w:pPr>
    </w:p>
    <w:p w14:paraId="3923FE8C" w14:textId="77777777" w:rsidR="00A571DB" w:rsidRPr="00D87B18" w:rsidRDefault="00A571DB" w:rsidP="00A571DB">
      <w:pPr>
        <w:rPr>
          <w:bCs/>
          <w:iCs/>
        </w:rPr>
      </w:pPr>
      <w:smartTag w:uri="urn:schemas-microsoft-com:office:smarttags" w:element="State">
        <w:smartTag w:uri="urn:schemas-microsoft-com:office:smarttags" w:element="place">
          <w:r w:rsidRPr="00D87B18">
            <w:rPr>
              <w:bCs/>
              <w:iCs/>
            </w:rPr>
            <w:t>Alaska</w:t>
          </w:r>
        </w:smartTag>
      </w:smartTag>
      <w:r w:rsidRPr="00D87B18">
        <w:rPr>
          <w:bCs/>
          <w:iCs/>
        </w:rPr>
        <w:t xml:space="preserve"> has the distinction of being the state with the largest public-sector workforce.  Approximately 25.5% of </w:t>
      </w:r>
      <w:smartTag w:uri="urn:schemas-microsoft-com:office:smarttags" w:element="State">
        <w:smartTag w:uri="urn:schemas-microsoft-com:office:smarttags" w:element="place">
          <w:r w:rsidRPr="00D87B18">
            <w:rPr>
              <w:bCs/>
              <w:iCs/>
            </w:rPr>
            <w:t>Alaska</w:t>
          </w:r>
        </w:smartTag>
      </w:smartTag>
      <w:r w:rsidRPr="00D87B18">
        <w:rPr>
          <w:bCs/>
          <w:iCs/>
        </w:rPr>
        <w:t xml:space="preserve">’s GDP is derived from local, state, and federal employment.   While the federal workforce is not projected to grow in the near future, the state and local workforce is expected to increase at 11.4% and 7.4%.   In addition, </w:t>
      </w:r>
      <w:smartTag w:uri="urn:schemas-microsoft-com:office:smarttags" w:element="City">
        <w:smartTag w:uri="urn:schemas-microsoft-com:office:smarttags" w:element="place">
          <w:r w:rsidRPr="00D87B18">
            <w:rPr>
              <w:bCs/>
              <w:iCs/>
            </w:rPr>
            <w:t>Anchorage</w:t>
          </w:r>
        </w:smartTag>
      </w:smartTag>
      <w:r w:rsidRPr="00D87B18">
        <w:rPr>
          <w:bCs/>
          <w:iCs/>
        </w:rPr>
        <w:t xml:space="preserve"> has a vast number of public and non-profit program administrators as well as a large number of individuals working in public policy development. For example, according to state Department of Labor statistics, there are </w:t>
      </w:r>
      <w:r w:rsidRPr="00D87B18">
        <w:rPr>
          <w:rStyle w:val="text"/>
          <w:i/>
          <w:iCs/>
        </w:rPr>
        <w:t xml:space="preserve">735 </w:t>
      </w:r>
      <w:r w:rsidRPr="00D87B18">
        <w:rPr>
          <w:rStyle w:val="text"/>
          <w:bCs/>
          <w:iCs/>
        </w:rPr>
        <w:t>associations/non-profit</w:t>
      </w:r>
      <w:r w:rsidRPr="00D87B18">
        <w:rPr>
          <w:rStyle w:val="text"/>
          <w:iCs/>
        </w:rPr>
        <w:t xml:space="preserve"> companies, 353 government companies and 1,433 public sector companies in</w:t>
      </w:r>
      <w:r w:rsidRPr="00D87B18">
        <w:rPr>
          <w:rStyle w:val="text"/>
          <w:i/>
          <w:iCs/>
        </w:rPr>
        <w:t xml:space="preserve"> </w:t>
      </w:r>
      <w:smartTag w:uri="urn:schemas-microsoft-com:office:smarttags" w:element="place">
        <w:smartTag w:uri="urn:schemas-microsoft-com:office:smarttags" w:element="City">
          <w:r w:rsidRPr="00D87B18">
            <w:rPr>
              <w:rStyle w:val="text"/>
              <w:bCs/>
              <w:iCs/>
            </w:rPr>
            <w:t>Anchorage</w:t>
          </w:r>
        </w:smartTag>
        <w:r w:rsidRPr="00D87B18">
          <w:rPr>
            <w:rStyle w:val="text"/>
            <w:bCs/>
            <w:iCs/>
          </w:rPr>
          <w:t xml:space="preserve">, </w:t>
        </w:r>
        <w:smartTag w:uri="urn:schemas-microsoft-com:office:smarttags" w:element="State">
          <w:r w:rsidRPr="00D87B18">
            <w:rPr>
              <w:rStyle w:val="text"/>
              <w:bCs/>
              <w:iCs/>
            </w:rPr>
            <w:t>Alaska</w:t>
          </w:r>
        </w:smartTag>
      </w:smartTag>
      <w:r w:rsidRPr="00D87B18">
        <w:rPr>
          <w:rStyle w:val="text"/>
          <w:i/>
          <w:iCs/>
        </w:rPr>
        <w:t xml:space="preserve">. </w:t>
      </w:r>
      <w:r w:rsidRPr="00D87B18">
        <w:rPr>
          <w:bCs/>
          <w:iCs/>
        </w:rPr>
        <w:t xml:space="preserve"> </w:t>
      </w:r>
      <w:smartTag w:uri="urn:schemas-microsoft-com:office:smarttags" w:element="City">
        <w:smartTag w:uri="urn:schemas-microsoft-com:office:smarttags" w:element="place">
          <w:r w:rsidRPr="00D87B18">
            <w:rPr>
              <w:bCs/>
              <w:iCs/>
            </w:rPr>
            <w:t>Anchorage</w:t>
          </w:r>
        </w:smartTag>
      </w:smartTag>
      <w:r w:rsidRPr="00D87B18">
        <w:rPr>
          <w:bCs/>
          <w:iCs/>
        </w:rPr>
        <w:t xml:space="preserve"> is the corporate headquarters for the majority of Alaska Native Corporations and their subsidiary businesses.  It also is the home of many statewide, regional, and local native non-profit entities.  It is the site of more than five hundred federal and municipal agencies and departments.  It contains the </w:t>
      </w:r>
      <w:smartTag w:uri="urn:schemas-microsoft-com:office:smarttags" w:element="place">
        <w:smartTag w:uri="urn:schemas-microsoft-com:office:smarttags" w:element="PlaceName">
          <w:r w:rsidRPr="00D87B18">
            <w:rPr>
              <w:bCs/>
              <w:iCs/>
            </w:rPr>
            <w:t>Anchorage</w:t>
          </w:r>
        </w:smartTag>
        <w:r w:rsidRPr="00D87B18">
          <w:rPr>
            <w:bCs/>
            <w:iCs/>
          </w:rPr>
          <w:t xml:space="preserve"> </w:t>
        </w:r>
        <w:smartTag w:uri="urn:schemas-microsoft-com:office:smarttags" w:element="PlaceType">
          <w:r w:rsidRPr="00D87B18">
            <w:rPr>
              <w:bCs/>
              <w:iCs/>
            </w:rPr>
            <w:t>School District</w:t>
          </w:r>
        </w:smartTag>
      </w:smartTag>
      <w:r w:rsidRPr="00D87B18">
        <w:rPr>
          <w:bCs/>
          <w:iCs/>
        </w:rPr>
        <w:t xml:space="preserve"> as well as several non-profit private schools.  In addition, Anchorage houses two United States military bases, and the state’s largest medical establishments, including four hospitals (one public, one VA (military), one non-profit, and one private) and other medical institutions and organizations.  The city also is the site of UAA, </w:t>
      </w:r>
      <w:smartTag w:uri="urn:schemas-microsoft-com:office:smarttags" w:element="PlaceName">
        <w:r w:rsidRPr="00D87B18">
          <w:rPr>
            <w:bCs/>
            <w:iCs/>
          </w:rPr>
          <w:t>Alaska</w:t>
        </w:r>
      </w:smartTag>
      <w:r w:rsidRPr="00D87B18">
        <w:rPr>
          <w:bCs/>
          <w:iCs/>
        </w:rPr>
        <w:t xml:space="preserve"> </w:t>
      </w:r>
      <w:smartTag w:uri="urn:schemas-microsoft-com:office:smarttags" w:element="PlaceName">
        <w:r w:rsidRPr="00D87B18">
          <w:rPr>
            <w:bCs/>
            <w:iCs/>
          </w:rPr>
          <w:t>Pacific</w:t>
        </w:r>
      </w:smartTag>
      <w:r w:rsidRPr="00D87B18">
        <w:rPr>
          <w:bCs/>
          <w:iCs/>
        </w:rPr>
        <w:t xml:space="preserve"> </w:t>
      </w:r>
      <w:smartTag w:uri="urn:schemas-microsoft-com:office:smarttags" w:element="PlaceType">
        <w:r w:rsidRPr="00D87B18">
          <w:rPr>
            <w:bCs/>
            <w:iCs/>
          </w:rPr>
          <w:t>University</w:t>
        </w:r>
      </w:smartTag>
      <w:r w:rsidRPr="00D87B18">
        <w:rPr>
          <w:bCs/>
          <w:iCs/>
        </w:rPr>
        <w:t xml:space="preserve">, </w:t>
      </w:r>
      <w:smartTag w:uri="urn:schemas-microsoft-com:office:smarttags" w:element="place">
        <w:smartTag w:uri="urn:schemas-microsoft-com:office:smarttags" w:element="PlaceName">
          <w:r w:rsidRPr="00D87B18">
            <w:rPr>
              <w:bCs/>
              <w:iCs/>
            </w:rPr>
            <w:t>Charter</w:t>
          </w:r>
        </w:smartTag>
        <w:r w:rsidRPr="00D87B18">
          <w:rPr>
            <w:bCs/>
            <w:iCs/>
          </w:rPr>
          <w:t xml:space="preserve"> </w:t>
        </w:r>
        <w:smartTag w:uri="urn:schemas-microsoft-com:office:smarttags" w:element="PlaceType">
          <w:r w:rsidRPr="00D87B18">
            <w:rPr>
              <w:bCs/>
              <w:iCs/>
            </w:rPr>
            <w:t>College</w:t>
          </w:r>
        </w:smartTag>
      </w:smartTag>
      <w:r w:rsidRPr="00D87B18">
        <w:rPr>
          <w:bCs/>
          <w:iCs/>
        </w:rPr>
        <w:t xml:space="preserve">, and several apprentice vocational, technical, industrial, and trade training schools and academies.  </w:t>
      </w:r>
    </w:p>
    <w:p w14:paraId="34E91215" w14:textId="77777777" w:rsidR="00A571DB" w:rsidRPr="00D87B18" w:rsidRDefault="00A571DB" w:rsidP="00A571DB">
      <w:pPr>
        <w:rPr>
          <w:bCs/>
          <w:iCs/>
        </w:rPr>
      </w:pPr>
      <w:r w:rsidRPr="00D87B18">
        <w:rPr>
          <w:bCs/>
          <w:iCs/>
        </w:rPr>
        <w:t xml:space="preserve">  </w:t>
      </w:r>
    </w:p>
    <w:p w14:paraId="6C678592" w14:textId="77777777" w:rsidR="00A571DB" w:rsidRPr="00D87B18" w:rsidRDefault="00A571DB" w:rsidP="00A571DB">
      <w:pPr>
        <w:rPr>
          <w:bCs/>
          <w:iCs/>
        </w:rPr>
      </w:pPr>
      <w:r w:rsidRPr="00D87B18">
        <w:rPr>
          <w:bCs/>
          <w:iCs/>
        </w:rPr>
        <w:t xml:space="preserve">The market is rich with students who are well positioned to benefit professionally from the UAA MPA program.  The market is well recognized as indicated by the fact that </w:t>
      </w:r>
      <w:smartTag w:uri="urn:schemas-microsoft-com:office:smarttags" w:element="PlaceType">
        <w:r w:rsidRPr="00D87B18">
          <w:rPr>
            <w:bCs/>
            <w:iCs/>
          </w:rPr>
          <w:t>University</w:t>
        </w:r>
      </w:smartTag>
      <w:r w:rsidRPr="00D87B18">
        <w:rPr>
          <w:bCs/>
          <w:iCs/>
        </w:rPr>
        <w:t xml:space="preserve"> of </w:t>
      </w:r>
      <w:smartTag w:uri="urn:schemas-microsoft-com:office:smarttags" w:element="PlaceName">
        <w:r w:rsidRPr="00D87B18">
          <w:rPr>
            <w:bCs/>
            <w:iCs/>
          </w:rPr>
          <w:t>Washington</w:t>
        </w:r>
      </w:smartTag>
      <w:r w:rsidRPr="00D87B18">
        <w:rPr>
          <w:bCs/>
          <w:iCs/>
        </w:rPr>
        <w:t xml:space="preserve"> regularly advertises its regular and mid-career Public Administration Degree Program to the </w:t>
      </w:r>
      <w:smartTag w:uri="urn:schemas-microsoft-com:office:smarttags" w:element="City">
        <w:smartTag w:uri="urn:schemas-microsoft-com:office:smarttags" w:element="place">
          <w:r w:rsidRPr="00D87B18">
            <w:rPr>
              <w:bCs/>
              <w:iCs/>
            </w:rPr>
            <w:t>Anchorage</w:t>
          </w:r>
        </w:smartTag>
      </w:smartTag>
      <w:r w:rsidRPr="00D87B18">
        <w:rPr>
          <w:bCs/>
          <w:iCs/>
        </w:rPr>
        <w:t xml:space="preserve"> audience.  The community has regularly expressed a desire to expand the MPA emphasis areas to include more planning and management, and tribal &amp; resource management programs.</w:t>
      </w:r>
    </w:p>
    <w:p w14:paraId="5A7C18FD" w14:textId="77777777" w:rsidR="00A571DB" w:rsidRPr="00D87B18" w:rsidRDefault="00A571DB" w:rsidP="00A571DB">
      <w:pPr>
        <w:rPr>
          <w:bCs/>
          <w:iCs/>
        </w:rPr>
      </w:pPr>
    </w:p>
    <w:p w14:paraId="65D791ED" w14:textId="77777777" w:rsidR="00A571DB" w:rsidRPr="00D87B18" w:rsidRDefault="00A571DB" w:rsidP="00A571DB">
      <w:pPr>
        <w:rPr>
          <w:bCs/>
          <w:iCs/>
        </w:rPr>
      </w:pPr>
      <w:r w:rsidRPr="00D87B18">
        <w:rPr>
          <w:bCs/>
          <w:iCs/>
        </w:rPr>
        <w:lastRenderedPageBreak/>
        <w:t xml:space="preserve">As the largest community in the State, many rural Alaskans have relatives living in </w:t>
      </w:r>
      <w:smartTag w:uri="urn:schemas-microsoft-com:office:smarttags" w:element="City">
        <w:smartTag w:uri="urn:schemas-microsoft-com:office:smarttags" w:element="place">
          <w:r w:rsidRPr="00D87B18">
            <w:rPr>
              <w:bCs/>
              <w:iCs/>
            </w:rPr>
            <w:t>Anchorage</w:t>
          </w:r>
        </w:smartTag>
      </w:smartTag>
      <w:r w:rsidRPr="00D87B18">
        <w:rPr>
          <w:bCs/>
          <w:iCs/>
        </w:rPr>
        <w:t xml:space="preserve">.  </w:t>
      </w:r>
      <w:smartTag w:uri="urn:schemas-microsoft-com:office:smarttags" w:element="City">
        <w:smartTag w:uri="urn:schemas-microsoft-com:office:smarttags" w:element="place">
          <w:r w:rsidRPr="00D87B18">
            <w:rPr>
              <w:bCs/>
              <w:iCs/>
            </w:rPr>
            <w:t>Anchorage</w:t>
          </w:r>
        </w:smartTag>
      </w:smartTag>
      <w:r w:rsidRPr="00D87B18">
        <w:rPr>
          <w:bCs/>
          <w:iCs/>
        </w:rPr>
        <w:t xml:space="preserve"> has the largest native community in the state.  Students would be interested in the availability of a tribal administration class or program.   </w:t>
      </w:r>
    </w:p>
    <w:p w14:paraId="1A062025" w14:textId="77777777" w:rsidR="00A571DB" w:rsidRPr="00D87B18" w:rsidRDefault="00A571DB" w:rsidP="00A571DB">
      <w:pPr>
        <w:rPr>
          <w:bCs/>
          <w:iCs/>
        </w:rPr>
      </w:pPr>
      <w:smartTag w:uri="urn:schemas-microsoft-com:office:smarttags" w:element="City">
        <w:smartTag w:uri="urn:schemas-microsoft-com:office:smarttags" w:element="place">
          <w:r w:rsidRPr="00D87B18">
            <w:rPr>
              <w:bCs/>
              <w:iCs/>
            </w:rPr>
            <w:t>Anchorage</w:t>
          </w:r>
        </w:smartTag>
      </w:smartTag>
      <w:r w:rsidRPr="00D87B18">
        <w:rPr>
          <w:bCs/>
          <w:iCs/>
        </w:rPr>
        <w:t xml:space="preserve"> has a growing and diverse ethnic population.  In 1960, </w:t>
      </w:r>
      <w:smartTag w:uri="urn:schemas-microsoft-com:office:smarttags" w:element="City">
        <w:smartTag w:uri="urn:schemas-microsoft-com:office:smarttags" w:element="place">
          <w:r w:rsidRPr="00D87B18">
            <w:rPr>
              <w:bCs/>
              <w:iCs/>
            </w:rPr>
            <w:t>Anchorage</w:t>
          </w:r>
        </w:smartTag>
      </w:smartTag>
      <w:r w:rsidRPr="00D87B18">
        <w:rPr>
          <w:bCs/>
          <w:iCs/>
        </w:rPr>
        <w:t xml:space="preserve"> had a minority population of only 8%.  In 2004, </w:t>
      </w:r>
      <w:smartTag w:uri="urn:schemas-microsoft-com:office:smarttags" w:element="City">
        <w:smartTag w:uri="urn:schemas-microsoft-com:office:smarttags" w:element="place">
          <w:r w:rsidRPr="00D87B18">
            <w:rPr>
              <w:bCs/>
              <w:iCs/>
            </w:rPr>
            <w:t>Anchorage</w:t>
          </w:r>
        </w:smartTag>
      </w:smartTag>
      <w:r w:rsidRPr="00D87B18">
        <w:rPr>
          <w:bCs/>
          <w:iCs/>
        </w:rPr>
        <w:t xml:space="preserve"> had a minority population of 30%.  Since 1990, the majority of new residents have come from </w:t>
      </w:r>
      <w:smartTag w:uri="urn:schemas-microsoft-com:office:smarttags" w:element="country-region">
        <w:r w:rsidRPr="00D87B18">
          <w:rPr>
            <w:bCs/>
            <w:iCs/>
          </w:rPr>
          <w:t>Mexico</w:t>
        </w:r>
      </w:smartTag>
      <w:r w:rsidRPr="00D87B18">
        <w:rPr>
          <w:bCs/>
          <w:iCs/>
        </w:rPr>
        <w:t xml:space="preserve">, Asia, and the </w:t>
      </w:r>
      <w:smartTag w:uri="urn:schemas-microsoft-com:office:smarttags" w:element="place">
        <w:smartTag w:uri="urn:schemas-microsoft-com:office:smarttags" w:element="PlaceName">
          <w:r w:rsidRPr="00D87B18">
            <w:rPr>
              <w:bCs/>
              <w:iCs/>
            </w:rPr>
            <w:t>Pacific</w:t>
          </w:r>
        </w:smartTag>
        <w:r w:rsidRPr="00D87B18">
          <w:rPr>
            <w:bCs/>
            <w:iCs/>
          </w:rPr>
          <w:t xml:space="preserve"> </w:t>
        </w:r>
        <w:smartTag w:uri="urn:schemas-microsoft-com:office:smarttags" w:element="PlaceType">
          <w:r w:rsidRPr="00D87B18">
            <w:rPr>
              <w:bCs/>
              <w:iCs/>
            </w:rPr>
            <w:t>Islands</w:t>
          </w:r>
        </w:smartTag>
      </w:smartTag>
      <w:r w:rsidRPr="00D87B18">
        <w:rPr>
          <w:bCs/>
          <w:iCs/>
        </w:rPr>
        <w:t xml:space="preserve">.   The MPA program has a growing number of minority students.  Responding to the interests and the needs of this new population is an important challenge for the MPA program and the UAA as a whole </w:t>
      </w:r>
    </w:p>
    <w:p w14:paraId="780BE642" w14:textId="77777777" w:rsidR="00A571DB" w:rsidRPr="00D87B18" w:rsidRDefault="00A571DB" w:rsidP="00A571DB">
      <w:pPr>
        <w:rPr>
          <w:b/>
        </w:rPr>
      </w:pPr>
    </w:p>
    <w:p w14:paraId="7B8D625E" w14:textId="77777777" w:rsidR="00A571DB" w:rsidRPr="00D87B18" w:rsidRDefault="00A571DB" w:rsidP="00A571DB">
      <w:pPr>
        <w:pStyle w:val="Heading1"/>
        <w:rPr>
          <w:rFonts w:ascii="Times New Roman" w:hAnsi="Times New Roman"/>
          <w:bCs/>
        </w:rPr>
      </w:pPr>
      <w:bookmarkStart w:id="13" w:name="_Toc201137015"/>
      <w:r w:rsidRPr="00D87B18">
        <w:rPr>
          <w:rFonts w:ascii="Times New Roman" w:hAnsi="Times New Roman"/>
          <w:bCs/>
        </w:rPr>
        <w:t>Public Administration Program Description</w:t>
      </w:r>
      <w:bookmarkEnd w:id="13"/>
      <w:r w:rsidRPr="00D87B18">
        <w:rPr>
          <w:rFonts w:ascii="Times New Roman" w:hAnsi="Times New Roman"/>
          <w:bCs/>
        </w:rPr>
        <w:t xml:space="preserve"> </w:t>
      </w:r>
    </w:p>
    <w:p w14:paraId="7A039BAB" w14:textId="77777777" w:rsidR="00A571DB" w:rsidRPr="00D87B18" w:rsidRDefault="00A571DB" w:rsidP="00A571DB">
      <w:pPr>
        <w:rPr>
          <w:b/>
        </w:rPr>
      </w:pPr>
    </w:p>
    <w:p w14:paraId="7777E222" w14:textId="77777777" w:rsidR="00A571DB" w:rsidRPr="00D87B18" w:rsidRDefault="00A571DB" w:rsidP="00A571DB">
      <w:r w:rsidRPr="00D87B18">
        <w:t xml:space="preserve">The Masters of Public Administration (MPA) graduate curriculum is specifically designed to meet the needs of the growing demands of </w:t>
      </w:r>
      <w:smartTag w:uri="urn:schemas-microsoft-com:office:smarttags" w:element="State">
        <w:smartTag w:uri="urn:schemas-microsoft-com:office:smarttags" w:element="place">
          <w:r w:rsidRPr="00D87B18">
            <w:t>Alaska</w:t>
          </w:r>
        </w:smartTag>
      </w:smartTag>
      <w:r w:rsidRPr="00D87B18">
        <w:t xml:space="preserve"> undergraduate students and working professionals who are seeking knowledge, skills, and advancement in Public Administration, Planning &amp; Policy.  MPA students come from diverse backgrounds and professional experience.  Most students live in </w:t>
      </w:r>
      <w:smartTag w:uri="urn:schemas-microsoft-com:office:smarttags" w:element="City">
        <w:r w:rsidRPr="00D87B18">
          <w:t>Anchorage</w:t>
        </w:r>
      </w:smartTag>
      <w:r w:rsidRPr="00D87B18">
        <w:t xml:space="preserve">; however, many students come from communities across the State and others come from locations throughout the </w:t>
      </w:r>
      <w:smartTag w:uri="urn:schemas-microsoft-com:office:smarttags" w:element="country-region">
        <w:smartTag w:uri="urn:schemas-microsoft-com:office:smarttags" w:element="place">
          <w:r w:rsidRPr="00D87B18">
            <w:t>United States</w:t>
          </w:r>
        </w:smartTag>
      </w:smartTag>
      <w:r w:rsidRPr="00D87B18">
        <w:t xml:space="preserve"> and the world.  </w:t>
      </w:r>
    </w:p>
    <w:p w14:paraId="4D2B2BA9" w14:textId="77777777" w:rsidR="00A571DB" w:rsidRPr="00D87B18" w:rsidRDefault="00A571DB" w:rsidP="00A571DB"/>
    <w:p w14:paraId="0C36CF3C" w14:textId="77777777" w:rsidR="00A571DB" w:rsidRPr="00D87B18" w:rsidRDefault="00A571DB" w:rsidP="00A571DB">
      <w:r w:rsidRPr="00D87B18">
        <w:t xml:space="preserve">Often students are mid-level managers who work full-time and are seeking to develop the leadership and analytical tools needed to attain higher leadership positions within their organizations.  The UAA MPA program blends both academic and professional perspectives that provide the student with a practical orientation to the theories, values, and analytical and managerial skills critical to success in public life.  The curriculum teaches tools, techniques, and insights that build strong administrative and public policy development capacity.  It focuses on skills that are particularly relevant to </w:t>
      </w:r>
      <w:smartTag w:uri="urn:schemas-microsoft-com:office:smarttags" w:element="State">
        <w:smartTag w:uri="urn:schemas-microsoft-com:office:smarttags" w:element="place">
          <w:r w:rsidRPr="00D87B18">
            <w:t>Alaska</w:t>
          </w:r>
        </w:smartTag>
      </w:smartTag>
      <w:r w:rsidRPr="00D87B18">
        <w:t xml:space="preserve">.  </w:t>
      </w:r>
    </w:p>
    <w:p w14:paraId="2DB8E64C" w14:textId="77777777" w:rsidR="00A571DB" w:rsidRPr="00D87B18" w:rsidRDefault="00A571DB" w:rsidP="00A571DB"/>
    <w:p w14:paraId="2967BF9D" w14:textId="77777777" w:rsidR="00A571DB" w:rsidRPr="00D87B18" w:rsidRDefault="00A571DB" w:rsidP="00A571DB">
      <w:r w:rsidRPr="00D87B18">
        <w:t xml:space="preserve">Students have a choice of program emphasis areas: </w:t>
      </w:r>
      <w:r w:rsidRPr="00D87B18">
        <w:rPr>
          <w:i/>
        </w:rPr>
        <w:t xml:space="preserve">Public Management; Policy Analysis; Health Administration; </w:t>
      </w:r>
      <w:r w:rsidRPr="00D87B18">
        <w:t xml:space="preserve">or </w:t>
      </w:r>
      <w:r w:rsidRPr="00D87B18">
        <w:rPr>
          <w:i/>
        </w:rPr>
        <w:t>Criminal Justice</w:t>
      </w:r>
      <w:r w:rsidRPr="00D87B18">
        <w:t>.  Each program offers an in-depth understanding of the essential elements related to effective administration, management, and organizational development.  Graduate Students’ final capstone projects require high-quality analysis and academic expertise as applied to critical public policy and administrative issues.</w:t>
      </w:r>
    </w:p>
    <w:p w14:paraId="0C2EA0E3" w14:textId="77777777" w:rsidR="00A571DB" w:rsidRPr="00D87B18" w:rsidRDefault="00A571DB" w:rsidP="00A571DB"/>
    <w:p w14:paraId="73DED670" w14:textId="77777777" w:rsidR="00A571DB" w:rsidRPr="00D87B18" w:rsidRDefault="00A571DB" w:rsidP="00A571DB">
      <w:r w:rsidRPr="00D87B18">
        <w:t>The program has 2 faculty positions.  This is supplemented by adjunct professors who typically teach 8 courses per academic year.  Due to the lack of availability of adjuncts, the choice of both core area and emphasis area program courses are often limited.  On a regular basis, UAA faculty members (often working in overload status) from other UAA programs teach MPA requirement core curriculum courses.  Interviews with students tell us that students often select their emphasis program based on what classes are available, rather than on the program that is of genuine interest.</w:t>
      </w:r>
    </w:p>
    <w:p w14:paraId="46D58CCF" w14:textId="77777777" w:rsidR="008F026F" w:rsidRPr="00D87B18" w:rsidRDefault="008F026F" w:rsidP="008F026F">
      <w:pPr>
        <w:autoSpaceDE w:val="0"/>
        <w:autoSpaceDN w:val="0"/>
        <w:adjustRightInd w:val="0"/>
        <w:rPr>
          <w:rStyle w:val="Heading2Char"/>
          <w:rFonts w:ascii="Times New Roman" w:hAnsi="Times New Roman"/>
        </w:rPr>
      </w:pPr>
    </w:p>
    <w:p w14:paraId="0987C070" w14:textId="77777777" w:rsidR="009D1C4C" w:rsidRPr="00D87B18" w:rsidRDefault="008F026F" w:rsidP="009D1C4C">
      <w:pPr>
        <w:pStyle w:val="Heading1"/>
        <w:rPr>
          <w:rStyle w:val="Heading2Char"/>
          <w:rFonts w:ascii="Times New Roman" w:hAnsi="Times New Roman"/>
        </w:rPr>
      </w:pPr>
      <w:bookmarkStart w:id="14" w:name="_Toc201137016"/>
      <w:r w:rsidRPr="00D87B18">
        <w:rPr>
          <w:rStyle w:val="Heading2Char"/>
          <w:rFonts w:ascii="Times New Roman" w:hAnsi="Times New Roman"/>
        </w:rPr>
        <w:t xml:space="preserve">NASPAA </w:t>
      </w:r>
      <w:r w:rsidR="00152EFF" w:rsidRPr="00D87B18">
        <w:rPr>
          <w:rStyle w:val="Heading2Char"/>
          <w:rFonts w:ascii="Times New Roman" w:hAnsi="Times New Roman"/>
        </w:rPr>
        <w:t>Accreditation</w:t>
      </w:r>
      <w:bookmarkEnd w:id="14"/>
      <w:r w:rsidR="00152EFF" w:rsidRPr="00D87B18">
        <w:rPr>
          <w:rStyle w:val="Heading2Char"/>
          <w:rFonts w:ascii="Times New Roman" w:hAnsi="Times New Roman"/>
        </w:rPr>
        <w:t xml:space="preserve"> </w:t>
      </w:r>
    </w:p>
    <w:p w14:paraId="37EE36FE" w14:textId="77777777" w:rsidR="009D1C4C" w:rsidRPr="00D87B18" w:rsidRDefault="009D1C4C" w:rsidP="00826972">
      <w:pPr>
        <w:rPr>
          <w:rStyle w:val="Heading2Char"/>
          <w:rFonts w:ascii="Times New Roman" w:hAnsi="Times New Roman"/>
        </w:rPr>
      </w:pPr>
    </w:p>
    <w:p w14:paraId="48C091DA" w14:textId="77777777" w:rsidR="009D1C4C" w:rsidRPr="00D87B18" w:rsidRDefault="009D1C4C" w:rsidP="009D1C4C">
      <w:pPr>
        <w:pStyle w:val="Heading2"/>
        <w:rPr>
          <w:rFonts w:ascii="Times New Roman" w:hAnsi="Times New Roman"/>
          <w:sz w:val="24"/>
        </w:rPr>
      </w:pPr>
      <w:bookmarkStart w:id="15" w:name="_Toc201137017"/>
      <w:r w:rsidRPr="00D87B18">
        <w:rPr>
          <w:rFonts w:ascii="Times New Roman" w:hAnsi="Times New Roman"/>
          <w:sz w:val="24"/>
        </w:rPr>
        <w:t>Standards and Terminology</w:t>
      </w:r>
      <w:bookmarkEnd w:id="15"/>
      <w:r w:rsidRPr="00D87B18">
        <w:rPr>
          <w:rFonts w:ascii="Times New Roman" w:hAnsi="Times New Roman"/>
          <w:sz w:val="24"/>
        </w:rPr>
        <w:t xml:space="preserve"> </w:t>
      </w:r>
    </w:p>
    <w:p w14:paraId="1EA84166" w14:textId="77777777" w:rsidR="009D1C4C" w:rsidRPr="00D87B18" w:rsidRDefault="009D1C4C" w:rsidP="00826972"/>
    <w:p w14:paraId="37E19A6E" w14:textId="77777777" w:rsidR="008F026F" w:rsidRPr="00D87B18" w:rsidRDefault="008F026F" w:rsidP="00826972">
      <w:pPr>
        <w:rPr>
          <w:rFonts w:ascii="Times" w:hAnsi="Times"/>
        </w:rPr>
      </w:pPr>
      <w:r w:rsidRPr="00D87B18">
        <w:t xml:space="preserve">The National Association of Schools of Public Affairs and Administration (NASPAA) is the membership association of graduate programs in public administration, public policy and public </w:t>
      </w:r>
      <w:r w:rsidRPr="00D87B18">
        <w:lastRenderedPageBreak/>
        <w:t xml:space="preserve">affairs. NASPAA's Commission on Peer Review and Accreditation is the specialized accreditor of those master degree programs.  </w:t>
      </w:r>
      <w:r w:rsidR="00826972" w:rsidRPr="00D87B18">
        <w:t>Although not currently accredited t</w:t>
      </w:r>
      <w:r w:rsidRPr="00D87B18">
        <w:t>he MPA program is a NASPAA member.  As such, this</w:t>
      </w:r>
      <w:r w:rsidRPr="00D87B18">
        <w:rPr>
          <w:rFonts w:ascii="Times" w:hAnsi="Times"/>
        </w:rPr>
        <w:t xml:space="preserve"> plan was designed to meet NASPAA standards and program definitions</w:t>
      </w:r>
      <w:r w:rsidR="00826972" w:rsidRPr="00D87B18">
        <w:rPr>
          <w:rFonts w:ascii="Times" w:hAnsi="Times"/>
        </w:rPr>
        <w:t>.</w:t>
      </w:r>
      <w:r w:rsidRPr="00D87B18">
        <w:rPr>
          <w:rFonts w:ascii="Times" w:hAnsi="Times"/>
        </w:rPr>
        <w:t xml:space="preserve"> The NASPAA utilizes the term </w:t>
      </w:r>
      <w:r w:rsidRPr="00D87B18">
        <w:rPr>
          <w:rFonts w:ascii="Times" w:hAnsi="Times"/>
          <w:i/>
        </w:rPr>
        <w:t>competencies</w:t>
      </w:r>
      <w:r w:rsidRPr="00D87B18">
        <w:rPr>
          <w:rFonts w:ascii="Times" w:hAnsi="Times"/>
        </w:rPr>
        <w:t>: “</w:t>
      </w:r>
      <w:r w:rsidR="00826972" w:rsidRPr="00D87B18">
        <w:rPr>
          <w:rFonts w:ascii="Times" w:hAnsi="Times"/>
        </w:rPr>
        <w:t>Curriculum components shall develop student competencies that are consistent with the program mission</w:t>
      </w:r>
      <w:r w:rsidR="00DF7A8D" w:rsidRPr="00D87B18">
        <w:rPr>
          <w:rFonts w:ascii="Times" w:hAnsi="Times"/>
        </w:rPr>
        <w:t>.</w:t>
      </w:r>
      <w:r w:rsidR="00826972" w:rsidRPr="00D87B18">
        <w:rPr>
          <w:rFonts w:ascii="Times" w:hAnsi="Times"/>
        </w:rPr>
        <w:t>”</w:t>
      </w:r>
      <w:r w:rsidR="00DF7A8D" w:rsidRPr="00D87B18">
        <w:rPr>
          <w:rStyle w:val="FootnoteReference"/>
          <w:rFonts w:ascii="Times" w:hAnsi="Times"/>
        </w:rPr>
        <w:t xml:space="preserve"> </w:t>
      </w:r>
      <w:r w:rsidR="00DF7A8D" w:rsidRPr="00D87B18">
        <w:rPr>
          <w:rStyle w:val="FootnoteReference"/>
          <w:rFonts w:ascii="Times" w:hAnsi="Times"/>
        </w:rPr>
        <w:footnoteReference w:id="6"/>
      </w:r>
    </w:p>
    <w:p w14:paraId="64EE4686" w14:textId="77777777" w:rsidR="00122C5E" w:rsidRPr="00D87B18" w:rsidRDefault="00122C5E"/>
    <w:p w14:paraId="24147758" w14:textId="77777777" w:rsidR="00D83D21" w:rsidRPr="00D87B18" w:rsidRDefault="00D83D21" w:rsidP="009D1C4C">
      <w:pPr>
        <w:jc w:val="both"/>
      </w:pPr>
      <w:r w:rsidRPr="00D87B18">
        <w:t>Competency-based education is an institutional process that moved education from what academics believe graduated need to know (teacher-focused) to what students need to know and be able to do in varying and complex situations (student and/or workplace focused.)</w:t>
      </w:r>
      <w:r w:rsidRPr="00D87B18">
        <w:rPr>
          <w:rStyle w:val="FootnoteReference"/>
        </w:rPr>
        <w:footnoteReference w:id="7"/>
      </w:r>
    </w:p>
    <w:p w14:paraId="40333DB1" w14:textId="77777777" w:rsidR="00A25A6D" w:rsidRPr="00D87B18" w:rsidRDefault="00A25A6D" w:rsidP="004459ED">
      <w:pPr>
        <w:autoSpaceDE w:val="0"/>
        <w:autoSpaceDN w:val="0"/>
        <w:adjustRightInd w:val="0"/>
        <w:rPr>
          <w:rFonts w:ascii="Times" w:hAnsi="Times"/>
        </w:rPr>
      </w:pPr>
    </w:p>
    <w:tbl>
      <w:tblPr>
        <w:tblStyle w:val="TableGridLight"/>
        <w:tblW w:w="0" w:type="auto"/>
        <w:jc w:val="center"/>
        <w:tblLook w:val="01E0" w:firstRow="1" w:lastRow="1" w:firstColumn="1" w:lastColumn="1" w:noHBand="0" w:noVBand="0"/>
        <w:tblCaption w:val="NASPAA (MPA) Competencies are equivalent to UAA Program Outcomes"/>
      </w:tblPr>
      <w:tblGrid>
        <w:gridCol w:w="2805"/>
        <w:gridCol w:w="935"/>
        <w:gridCol w:w="2992"/>
      </w:tblGrid>
      <w:tr w:rsidR="00DB3680" w:rsidRPr="00D87B18" w14:paraId="1F94A1CA" w14:textId="77777777" w:rsidTr="00532140">
        <w:trPr>
          <w:tblHeader/>
          <w:jc w:val="center"/>
        </w:trPr>
        <w:tc>
          <w:tcPr>
            <w:tcW w:w="2805" w:type="dxa"/>
          </w:tcPr>
          <w:p w14:paraId="08D27729" w14:textId="77777777" w:rsidR="00DB3680" w:rsidRPr="00D87B18" w:rsidRDefault="008F026F" w:rsidP="00BF3711">
            <w:pPr>
              <w:autoSpaceDE w:val="0"/>
              <w:autoSpaceDN w:val="0"/>
              <w:adjustRightInd w:val="0"/>
              <w:jc w:val="center"/>
              <w:rPr>
                <w:rFonts w:ascii="Times" w:hAnsi="Times"/>
              </w:rPr>
            </w:pPr>
            <w:r w:rsidRPr="00D87B18">
              <w:rPr>
                <w:rFonts w:ascii="Times" w:hAnsi="Times"/>
              </w:rPr>
              <w:t xml:space="preserve">NASPAA </w:t>
            </w:r>
            <w:r w:rsidR="009B0772" w:rsidRPr="00D87B18">
              <w:rPr>
                <w:rFonts w:ascii="Times" w:hAnsi="Times"/>
              </w:rPr>
              <w:t>(</w:t>
            </w:r>
            <w:r w:rsidR="00AD31EE" w:rsidRPr="00D87B18">
              <w:rPr>
                <w:rFonts w:ascii="Times" w:hAnsi="Times"/>
              </w:rPr>
              <w:t>MPA</w:t>
            </w:r>
            <w:r w:rsidR="009B0772" w:rsidRPr="00D87B18">
              <w:rPr>
                <w:rFonts w:ascii="Times" w:hAnsi="Times"/>
              </w:rPr>
              <w:t>)</w:t>
            </w:r>
          </w:p>
          <w:p w14:paraId="0D321ACB" w14:textId="77777777" w:rsidR="003647E6" w:rsidRPr="00D87B18" w:rsidRDefault="008F026F" w:rsidP="00BF3711">
            <w:pPr>
              <w:autoSpaceDE w:val="0"/>
              <w:autoSpaceDN w:val="0"/>
              <w:adjustRightInd w:val="0"/>
              <w:jc w:val="center"/>
              <w:rPr>
                <w:rFonts w:ascii="Times" w:hAnsi="Times"/>
              </w:rPr>
            </w:pPr>
            <w:r w:rsidRPr="00D87B18">
              <w:rPr>
                <w:rFonts w:ascii="Times" w:hAnsi="Times"/>
              </w:rPr>
              <w:t>Competencies</w:t>
            </w:r>
          </w:p>
        </w:tc>
        <w:tc>
          <w:tcPr>
            <w:tcW w:w="935" w:type="dxa"/>
          </w:tcPr>
          <w:p w14:paraId="563A8861" w14:textId="77777777" w:rsidR="00DB3680" w:rsidRPr="00D87B18" w:rsidRDefault="003647E6" w:rsidP="00BF3711">
            <w:pPr>
              <w:autoSpaceDE w:val="0"/>
              <w:autoSpaceDN w:val="0"/>
              <w:adjustRightInd w:val="0"/>
              <w:jc w:val="center"/>
              <w:rPr>
                <w:rFonts w:ascii="Times" w:hAnsi="Times"/>
                <w:b/>
                <w:sz w:val="32"/>
                <w:szCs w:val="32"/>
              </w:rPr>
            </w:pPr>
            <w:r w:rsidRPr="00D87B18">
              <w:rPr>
                <w:rFonts w:ascii="Times" w:hAnsi="Times"/>
                <w:b/>
                <w:sz w:val="32"/>
                <w:szCs w:val="32"/>
              </w:rPr>
              <w:t>=</w:t>
            </w:r>
          </w:p>
        </w:tc>
        <w:tc>
          <w:tcPr>
            <w:tcW w:w="2992" w:type="dxa"/>
          </w:tcPr>
          <w:p w14:paraId="1E8ED8A4" w14:textId="77777777" w:rsidR="00DB3680" w:rsidRPr="00D87B18" w:rsidRDefault="00235197" w:rsidP="00BF3711">
            <w:pPr>
              <w:autoSpaceDE w:val="0"/>
              <w:autoSpaceDN w:val="0"/>
              <w:adjustRightInd w:val="0"/>
              <w:jc w:val="center"/>
              <w:rPr>
                <w:rFonts w:ascii="Times" w:hAnsi="Times"/>
              </w:rPr>
            </w:pPr>
            <w:r w:rsidRPr="00D87B18">
              <w:rPr>
                <w:rFonts w:ascii="Times" w:hAnsi="Times"/>
              </w:rPr>
              <w:t xml:space="preserve">UAA </w:t>
            </w:r>
          </w:p>
          <w:p w14:paraId="6919D887" w14:textId="77777777" w:rsidR="003647E6" w:rsidRPr="00D87B18" w:rsidRDefault="003647E6" w:rsidP="00BF3711">
            <w:pPr>
              <w:autoSpaceDE w:val="0"/>
              <w:autoSpaceDN w:val="0"/>
              <w:adjustRightInd w:val="0"/>
              <w:jc w:val="center"/>
              <w:rPr>
                <w:rFonts w:ascii="Times" w:hAnsi="Times"/>
              </w:rPr>
            </w:pPr>
            <w:r w:rsidRPr="00D87B18">
              <w:rPr>
                <w:rFonts w:ascii="Times" w:hAnsi="Times"/>
              </w:rPr>
              <w:t>program outcome</w:t>
            </w:r>
          </w:p>
        </w:tc>
      </w:tr>
    </w:tbl>
    <w:p w14:paraId="240F87B2" w14:textId="77777777" w:rsidR="00A25A6D" w:rsidRPr="00D87B18" w:rsidRDefault="00A25A6D" w:rsidP="004459ED">
      <w:pPr>
        <w:autoSpaceDE w:val="0"/>
        <w:autoSpaceDN w:val="0"/>
        <w:adjustRightInd w:val="0"/>
        <w:rPr>
          <w:rFonts w:ascii="Times" w:hAnsi="Times"/>
        </w:rPr>
      </w:pPr>
    </w:p>
    <w:p w14:paraId="02D56BD1" w14:textId="77777777" w:rsidR="00C2665E" w:rsidRPr="00D87B18" w:rsidRDefault="00AD31EE" w:rsidP="009D1C4C">
      <w:pPr>
        <w:pStyle w:val="Heading2"/>
        <w:rPr>
          <w:rFonts w:ascii="Times New Roman" w:hAnsi="Times New Roman"/>
          <w:sz w:val="24"/>
        </w:rPr>
      </w:pPr>
      <w:bookmarkStart w:id="16" w:name="_Toc150695209"/>
      <w:bookmarkStart w:id="17" w:name="_Toc201137018"/>
      <w:r w:rsidRPr="00D87B18">
        <w:rPr>
          <w:rFonts w:ascii="Times New Roman" w:hAnsi="Times New Roman"/>
          <w:sz w:val="24"/>
        </w:rPr>
        <w:t>MPA</w:t>
      </w:r>
      <w:r w:rsidR="00C2665E" w:rsidRPr="00D87B18">
        <w:rPr>
          <w:rFonts w:ascii="Times New Roman" w:hAnsi="Times New Roman"/>
          <w:sz w:val="24"/>
        </w:rPr>
        <w:t xml:space="preserve"> </w:t>
      </w:r>
      <w:bookmarkEnd w:id="16"/>
      <w:r w:rsidR="00056F76" w:rsidRPr="00D87B18">
        <w:rPr>
          <w:rFonts w:ascii="Times New Roman" w:hAnsi="Times New Roman"/>
          <w:sz w:val="24"/>
        </w:rPr>
        <w:t>Competencies</w:t>
      </w:r>
      <w:bookmarkEnd w:id="17"/>
    </w:p>
    <w:p w14:paraId="5095F496" w14:textId="77777777" w:rsidR="00C2665E" w:rsidRPr="00D87B18" w:rsidRDefault="00C2665E" w:rsidP="004459ED"/>
    <w:p w14:paraId="23D4F929" w14:textId="77777777" w:rsidR="00406C4A" w:rsidRPr="00D87B18" w:rsidRDefault="00DF7A8D" w:rsidP="00406C4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D87B18">
        <w:t>According to NASPAA draft guidelines</w:t>
      </w:r>
      <w:r w:rsidR="00D83D21" w:rsidRPr="00D87B18">
        <w:rPr>
          <w:rStyle w:val="FootnoteReference"/>
        </w:rPr>
        <w:footnoteReference w:id="8"/>
      </w:r>
      <w:r w:rsidRPr="00D87B18">
        <w:t xml:space="preserve"> student competencies</w:t>
      </w:r>
      <w:r w:rsidR="00924D52" w:rsidRPr="00D87B18">
        <w:t xml:space="preserve"> (program outcomes) </w:t>
      </w:r>
      <w:r w:rsidRPr="00D87B18">
        <w:t xml:space="preserve">ensure that students will be capable of acting ethically and effectively in pursuit of the public interest. NASPAA </w:t>
      </w:r>
      <w:r w:rsidR="0073351B" w:rsidRPr="00D87B18">
        <w:t xml:space="preserve">draft </w:t>
      </w:r>
      <w:r w:rsidRPr="00D87B18">
        <w:t xml:space="preserve">guidelines </w:t>
      </w:r>
      <w:r w:rsidR="0073351B" w:rsidRPr="00D87B18">
        <w:t xml:space="preserve">list </w:t>
      </w:r>
      <w:r w:rsidR="00056F76" w:rsidRPr="00D87B18">
        <w:t xml:space="preserve">competencies </w:t>
      </w:r>
      <w:r w:rsidR="0073351B" w:rsidRPr="00D87B18">
        <w:t>that should be explicitly included by programs.  The MPA p</w:t>
      </w:r>
      <w:r w:rsidR="00056F76" w:rsidRPr="00D87B18">
        <w:t xml:space="preserve">rogram has adopted these. </w:t>
      </w:r>
    </w:p>
    <w:p w14:paraId="3C675C22" w14:textId="77777777" w:rsidR="00056F76" w:rsidRPr="00D87B18" w:rsidRDefault="00056F76" w:rsidP="00DF7A8D">
      <w:bookmarkStart w:id="18" w:name="_Toc112752971"/>
    </w:p>
    <w:p w14:paraId="64464DB4" w14:textId="77777777" w:rsidR="00D83D21" w:rsidRPr="00D87B18" w:rsidRDefault="00DF7A8D" w:rsidP="00D83D21">
      <w:pPr>
        <w:numPr>
          <w:ilvl w:val="0"/>
          <w:numId w:val="7"/>
        </w:numPr>
      </w:pPr>
      <w:r w:rsidRPr="00D87B18">
        <w:t xml:space="preserve">Leadership and decision </w:t>
      </w:r>
      <w:r w:rsidR="00D83D21" w:rsidRPr="00D87B18">
        <w:t>making,</w:t>
      </w:r>
    </w:p>
    <w:p w14:paraId="781FEBEC" w14:textId="77777777" w:rsidR="00D83D21" w:rsidRPr="00D87B18" w:rsidRDefault="00D83D21" w:rsidP="00D83D21">
      <w:pPr>
        <w:numPr>
          <w:ilvl w:val="0"/>
          <w:numId w:val="7"/>
        </w:numPr>
      </w:pPr>
      <w:r w:rsidRPr="00D87B18">
        <w:t>Communications,</w:t>
      </w:r>
    </w:p>
    <w:p w14:paraId="7BAAAE66" w14:textId="77777777" w:rsidR="00D83D21" w:rsidRPr="00D87B18" w:rsidRDefault="00DF7A8D" w:rsidP="00D83D21">
      <w:pPr>
        <w:numPr>
          <w:ilvl w:val="0"/>
          <w:numId w:val="7"/>
        </w:numPr>
      </w:pPr>
      <w:r w:rsidRPr="00D87B18">
        <w:t xml:space="preserve">Awareness of the values and tradeoffs in public service, including sustainability, citizen </w:t>
      </w:r>
      <w:r w:rsidR="00C03AB2" w:rsidRPr="00D87B18">
        <w:t>e</w:t>
      </w:r>
      <w:r w:rsidRPr="00D87B18">
        <w:t xml:space="preserve">ngagement, </w:t>
      </w:r>
      <w:r w:rsidR="00D83D21" w:rsidRPr="00D87B18">
        <w:t>democratic values, transparency,</w:t>
      </w:r>
    </w:p>
    <w:p w14:paraId="5DF16E06" w14:textId="77777777" w:rsidR="00D83D21" w:rsidRPr="00D87B18" w:rsidRDefault="00DF7A8D" w:rsidP="00D83D21">
      <w:pPr>
        <w:numPr>
          <w:ilvl w:val="0"/>
          <w:numId w:val="7"/>
        </w:numPr>
      </w:pPr>
      <w:r w:rsidRPr="00D87B18">
        <w:t>Role of financial, human, information, technology, and other resources</w:t>
      </w:r>
      <w:r w:rsidR="00D83D21" w:rsidRPr="00D87B18">
        <w:t xml:space="preserve">, </w:t>
      </w:r>
    </w:p>
    <w:p w14:paraId="1216B679" w14:textId="77777777" w:rsidR="00D83D21" w:rsidRPr="00D87B18" w:rsidRDefault="00DF7A8D" w:rsidP="00D83D21">
      <w:pPr>
        <w:numPr>
          <w:ilvl w:val="0"/>
          <w:numId w:val="7"/>
        </w:numPr>
      </w:pPr>
      <w:r w:rsidRPr="00D87B18">
        <w:t>Knowledge of the policy process, including assess</w:t>
      </w:r>
      <w:r w:rsidR="00D83D21" w:rsidRPr="00D87B18">
        <w:t>ment, and</w:t>
      </w:r>
    </w:p>
    <w:p w14:paraId="0C62EEB7" w14:textId="77777777" w:rsidR="00BB670E" w:rsidRPr="00D87B18" w:rsidRDefault="00DF7A8D" w:rsidP="00D83D21">
      <w:pPr>
        <w:numPr>
          <w:ilvl w:val="0"/>
          <w:numId w:val="7"/>
        </w:numPr>
      </w:pPr>
      <w:r w:rsidRPr="00D87B18">
        <w:t>Problem-solving, including the use of evidence.</w:t>
      </w:r>
    </w:p>
    <w:p w14:paraId="4A6CA325" w14:textId="77777777" w:rsidR="004E3B14" w:rsidRPr="00D87B18" w:rsidRDefault="004E3B14" w:rsidP="00D83D21">
      <w:pPr>
        <w:numPr>
          <w:ilvl w:val="0"/>
          <w:numId w:val="7"/>
        </w:numPr>
      </w:pPr>
      <w:r w:rsidRPr="00D87B18">
        <w:t>Information processing and technology for effective administration (2007 new)</w:t>
      </w:r>
    </w:p>
    <w:p w14:paraId="44BB92EA" w14:textId="77777777" w:rsidR="00056F76" w:rsidRPr="00D87B18" w:rsidRDefault="00056F76" w:rsidP="00D83D21">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sz w:val="28"/>
          <w:szCs w:val="28"/>
        </w:rPr>
      </w:pPr>
      <w:bookmarkStart w:id="19" w:name="_Toc150071843"/>
      <w:bookmarkStart w:id="20" w:name="_Toc150695210"/>
      <w:bookmarkStart w:id="21" w:name="OLE_LINK1"/>
      <w:bookmarkEnd w:id="18"/>
    </w:p>
    <w:p w14:paraId="6AFFF7FE" w14:textId="77777777" w:rsidR="00D83D21" w:rsidRPr="00D87B18" w:rsidRDefault="00D83D21" w:rsidP="00C40658">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D87B18">
        <w:t xml:space="preserve">In addition, competencies used by each program should reflect the following environmental </w:t>
      </w:r>
      <w:r w:rsidR="00C40658" w:rsidRPr="00D87B18">
        <w:t>characteristics</w:t>
      </w:r>
      <w:r w:rsidRPr="00D87B18">
        <w:t xml:space="preserve"> of the public service:</w:t>
      </w:r>
    </w:p>
    <w:p w14:paraId="78D9B512" w14:textId="77777777" w:rsidR="00D83D21" w:rsidRPr="00D87B18" w:rsidRDefault="00D83D21" w:rsidP="00BE7A88">
      <w:pPr>
        <w:pStyle w:val="Level1"/>
        <w:numPr>
          <w:ilvl w:val="1"/>
          <w:numId w:val="7"/>
        </w:numPr>
        <w:tabs>
          <w:tab w:val="clear" w:pos="1800"/>
          <w:tab w:val="left" w:pos="-1080"/>
          <w:tab w:val="left" w:pos="-720"/>
          <w:tab w:val="left" w:pos="0"/>
          <w:tab w:val="left" w:pos="45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left"/>
      </w:pPr>
      <w:r w:rsidRPr="00D87B18">
        <w:t>Multi-sectoral</w:t>
      </w:r>
    </w:p>
    <w:p w14:paraId="53045FA9" w14:textId="77777777" w:rsidR="00C40658" w:rsidRPr="00D87B18" w:rsidRDefault="00D83D21" w:rsidP="00BE7A88">
      <w:pPr>
        <w:pStyle w:val="Level1"/>
        <w:numPr>
          <w:ilvl w:val="1"/>
          <w:numId w:val="7"/>
        </w:numPr>
        <w:tabs>
          <w:tab w:val="clear" w:pos="1800"/>
          <w:tab w:val="left" w:pos="-1080"/>
          <w:tab w:val="left" w:pos="-720"/>
          <w:tab w:val="left" w:pos="0"/>
          <w:tab w:val="left" w:pos="45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left"/>
      </w:pPr>
      <w:r w:rsidRPr="00D87B18">
        <w:t>Diversity</w:t>
      </w:r>
    </w:p>
    <w:p w14:paraId="69D6B46D" w14:textId="77777777" w:rsidR="00D83D21" w:rsidRPr="00D87B18" w:rsidRDefault="00D83D21" w:rsidP="00BE7A88">
      <w:pPr>
        <w:pStyle w:val="Level1"/>
        <w:numPr>
          <w:ilvl w:val="1"/>
          <w:numId w:val="7"/>
        </w:numPr>
        <w:tabs>
          <w:tab w:val="clear" w:pos="1800"/>
          <w:tab w:val="left" w:pos="-1080"/>
          <w:tab w:val="left" w:pos="-720"/>
          <w:tab w:val="left" w:pos="0"/>
          <w:tab w:val="left" w:pos="45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left"/>
      </w:pPr>
      <w:r w:rsidRPr="00D87B18">
        <w:t>Globalization, and</w:t>
      </w:r>
    </w:p>
    <w:p w14:paraId="6CD4B839" w14:textId="77777777" w:rsidR="00D83D21" w:rsidRPr="00D87B18" w:rsidRDefault="00D83D21" w:rsidP="00BE7A88">
      <w:pPr>
        <w:pStyle w:val="Level1"/>
        <w:numPr>
          <w:ilvl w:val="1"/>
          <w:numId w:val="7"/>
        </w:numPr>
        <w:tabs>
          <w:tab w:val="clear" w:pos="1800"/>
          <w:tab w:val="left" w:pos="-1080"/>
          <w:tab w:val="left" w:pos="-720"/>
          <w:tab w:val="left" w:pos="0"/>
          <w:tab w:val="left" w:pos="45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left"/>
      </w:pPr>
      <w:r w:rsidRPr="00D87B18">
        <w:t>Rapid technological change.</w:t>
      </w:r>
    </w:p>
    <w:p w14:paraId="37AC61DC" w14:textId="77777777" w:rsidR="009715C6" w:rsidRPr="00D87B18" w:rsidRDefault="009715C6" w:rsidP="009715C6">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p>
    <w:p w14:paraId="6B331833" w14:textId="77777777" w:rsidR="00D83D21" w:rsidRPr="00D87B18" w:rsidRDefault="009D1C4C" w:rsidP="009D1C4C">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sz w:val="28"/>
          <w:szCs w:val="28"/>
        </w:rPr>
      </w:pPr>
      <w:bookmarkStart w:id="22" w:name="_Toc201137019"/>
      <w:r w:rsidRPr="00D87B18">
        <w:rPr>
          <w:rStyle w:val="Heading2Char"/>
          <w:rFonts w:ascii="Times New Roman" w:hAnsi="Times New Roman"/>
        </w:rPr>
        <w:t xml:space="preserve">UAA PADM Program </w:t>
      </w:r>
      <w:r w:rsidR="009715C6" w:rsidRPr="00D87B18">
        <w:rPr>
          <w:rStyle w:val="Heading2Char"/>
          <w:rFonts w:ascii="Times New Roman" w:hAnsi="Times New Roman"/>
        </w:rPr>
        <w:t>Correspondence of Competencies</w:t>
      </w:r>
      <w:bookmarkEnd w:id="22"/>
      <w:r w:rsidR="009715C6" w:rsidRPr="00D87B18">
        <w:rPr>
          <w:b/>
          <w:sz w:val="28"/>
          <w:szCs w:val="28"/>
        </w:rPr>
        <w:t xml:space="preserve"> and Course Descriptions</w:t>
      </w:r>
    </w:p>
    <w:p w14:paraId="22345038" w14:textId="77777777" w:rsidR="009715C6" w:rsidRPr="00D87B18" w:rsidRDefault="009715C6" w:rsidP="009715C6">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center"/>
        <w:rPr>
          <w:b/>
          <w:sz w:val="28"/>
          <w:szCs w:val="28"/>
        </w:rPr>
      </w:pPr>
    </w:p>
    <w:p w14:paraId="4BF63934" w14:textId="77777777" w:rsidR="009715C6" w:rsidRPr="00D87B18" w:rsidRDefault="009715C6" w:rsidP="009715C6">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rsidRPr="00D87B18">
        <w:t>This section examines the relationship between NASPAA competencies and the current course offerings of the Department of Public Administration.  These courses include:</w:t>
      </w:r>
    </w:p>
    <w:p w14:paraId="3FFD56F5" w14:textId="77777777" w:rsidR="009D1C4C" w:rsidRPr="00D87B18" w:rsidRDefault="009D1C4C" w:rsidP="009D1C4C">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p>
    <w:p w14:paraId="74FDD163" w14:textId="77777777" w:rsidR="00630F78" w:rsidRPr="00D87B18" w:rsidRDefault="009D1C4C" w:rsidP="009D1C4C">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 w:rsidRPr="00D87B18">
        <w:t>Core Courses</w:t>
      </w:r>
    </w:p>
    <w:p w14:paraId="4856C1BE" w14:textId="77777777" w:rsidR="00630F78" w:rsidRPr="00D87B18" w:rsidRDefault="00630F78" w:rsidP="00630F78">
      <w:pPr>
        <w:ind w:left="1440"/>
      </w:pPr>
      <w:r w:rsidRPr="00D87B18">
        <w:t xml:space="preserve">PADM 602: </w:t>
      </w:r>
      <w:r w:rsidRPr="00D87B18">
        <w:tab/>
        <w:t>Seminar in Public Management</w:t>
      </w:r>
    </w:p>
    <w:p w14:paraId="43537CC0" w14:textId="77777777" w:rsidR="00630F78" w:rsidRPr="00D87B18" w:rsidRDefault="00A504BB" w:rsidP="00630F78">
      <w:pPr>
        <w:ind w:left="1440"/>
      </w:pPr>
      <w:r w:rsidRPr="00D87B18">
        <w:t>PADM 603:</w:t>
      </w:r>
      <w:r w:rsidRPr="00D87B18">
        <w:tab/>
      </w:r>
      <w:r w:rsidR="00630F78" w:rsidRPr="00D87B18">
        <w:t>Management Analysis</w:t>
      </w:r>
    </w:p>
    <w:p w14:paraId="74E5ACB6" w14:textId="77777777" w:rsidR="00630F78" w:rsidRPr="00D87B18" w:rsidRDefault="00630F78" w:rsidP="00630F78">
      <w:pPr>
        <w:ind w:left="1440"/>
      </w:pPr>
      <w:r w:rsidRPr="00D87B18">
        <w:t>PADM 604:</w:t>
      </w:r>
      <w:r w:rsidRPr="00D87B18">
        <w:tab/>
        <w:t>Research Methods</w:t>
      </w:r>
    </w:p>
    <w:p w14:paraId="2A1FAF97" w14:textId="77777777" w:rsidR="00630F78" w:rsidRPr="00D87B18" w:rsidRDefault="00630F78" w:rsidP="00630F78">
      <w:pPr>
        <w:ind w:left="1440"/>
      </w:pPr>
      <w:r w:rsidRPr="00D87B18">
        <w:t>PADM 606:</w:t>
      </w:r>
      <w:r w:rsidRPr="00D87B18">
        <w:tab/>
        <w:t>Policy Making Process</w:t>
      </w:r>
    </w:p>
    <w:p w14:paraId="1C9FF5DF" w14:textId="77777777" w:rsidR="005B4105" w:rsidRPr="00D87B18" w:rsidRDefault="005B4105" w:rsidP="005B4105">
      <w:pPr>
        <w:ind w:left="1440"/>
      </w:pPr>
      <w:r w:rsidRPr="00D87B18">
        <w:t>PADM 628:</w:t>
      </w:r>
      <w:r w:rsidRPr="00D87B18">
        <w:tab/>
        <w:t>Administration of Financial Resources</w:t>
      </w:r>
    </w:p>
    <w:p w14:paraId="3FA82076" w14:textId="77777777" w:rsidR="005B4105" w:rsidRPr="00D87B18" w:rsidRDefault="005B4105" w:rsidP="00630F78">
      <w:pPr>
        <w:ind w:left="1440"/>
      </w:pPr>
    </w:p>
    <w:p w14:paraId="2FF22E67" w14:textId="77777777" w:rsidR="005B4105" w:rsidRPr="00D87B18" w:rsidRDefault="005B4105" w:rsidP="00630F78">
      <w:pPr>
        <w:ind w:left="1440"/>
      </w:pPr>
    </w:p>
    <w:p w14:paraId="78EAEF98" w14:textId="77777777" w:rsidR="005B4105" w:rsidRPr="00D87B18" w:rsidRDefault="005B4105" w:rsidP="005B4105">
      <w:pPr>
        <w:ind w:firstLine="720"/>
      </w:pPr>
      <w:r w:rsidRPr="00D87B18">
        <w:t>Public Management Emphasis</w:t>
      </w:r>
    </w:p>
    <w:p w14:paraId="67F693AD" w14:textId="77777777" w:rsidR="005B4105" w:rsidRPr="00D87B18" w:rsidRDefault="005B4105" w:rsidP="00630F78">
      <w:pPr>
        <w:ind w:left="1440"/>
      </w:pPr>
      <w:r w:rsidRPr="00D87B18">
        <w:t>PADM 603:    Management Analysis</w:t>
      </w:r>
    </w:p>
    <w:p w14:paraId="798C3E9E" w14:textId="77777777" w:rsidR="00630F78" w:rsidRPr="00D87B18" w:rsidRDefault="00630F78" w:rsidP="00630F78">
      <w:pPr>
        <w:ind w:left="1440"/>
      </w:pPr>
      <w:r w:rsidRPr="00D87B18">
        <w:t>PADM 610:</w:t>
      </w:r>
      <w:r w:rsidRPr="00D87B18">
        <w:tab/>
        <w:t>Organizational Theory and Behavior</w:t>
      </w:r>
    </w:p>
    <w:p w14:paraId="144B2D62" w14:textId="77777777" w:rsidR="005B4105" w:rsidRPr="00D87B18" w:rsidRDefault="005B4105" w:rsidP="005B4105">
      <w:pPr>
        <w:ind w:left="1440"/>
      </w:pPr>
      <w:r w:rsidRPr="00D87B18">
        <w:t>PADM 624:</w:t>
      </w:r>
      <w:r w:rsidRPr="00D87B18">
        <w:tab/>
        <w:t>Human Resources Administration</w:t>
      </w:r>
    </w:p>
    <w:p w14:paraId="2318D75A" w14:textId="77777777" w:rsidR="005B4105" w:rsidRPr="00D87B18" w:rsidRDefault="005B4105" w:rsidP="00630F78">
      <w:pPr>
        <w:ind w:left="1440"/>
      </w:pPr>
    </w:p>
    <w:p w14:paraId="0B0A6DDE" w14:textId="77777777" w:rsidR="005B4105" w:rsidRPr="00D87B18" w:rsidRDefault="005B4105" w:rsidP="005B4105">
      <w:r w:rsidRPr="00D87B18">
        <w:tab/>
        <w:t>Policy Analysis Emphasis</w:t>
      </w:r>
    </w:p>
    <w:p w14:paraId="2A258CC8" w14:textId="77777777" w:rsidR="005B4105" w:rsidRPr="00D87B18" w:rsidRDefault="005B4105" w:rsidP="005B4105">
      <w:r w:rsidRPr="00D87B18">
        <w:tab/>
      </w:r>
      <w:r w:rsidRPr="00D87B18">
        <w:tab/>
        <w:t xml:space="preserve">PADM 632:   </w:t>
      </w:r>
      <w:r w:rsidRPr="00D87B18">
        <w:tab/>
        <w:t>Policy Analysis</w:t>
      </w:r>
    </w:p>
    <w:p w14:paraId="7D9691CB" w14:textId="77777777" w:rsidR="005B4105" w:rsidRPr="00D87B18" w:rsidRDefault="005B4105" w:rsidP="005B4105"/>
    <w:p w14:paraId="14642158" w14:textId="77777777" w:rsidR="005B4105" w:rsidRPr="00D87B18" w:rsidRDefault="005B4105" w:rsidP="005B4105">
      <w:r w:rsidRPr="00D87B18">
        <w:tab/>
        <w:t>Health Administration Emphasis</w:t>
      </w:r>
    </w:p>
    <w:p w14:paraId="605FE58A" w14:textId="77777777" w:rsidR="005B4105" w:rsidRPr="00D87B18" w:rsidRDefault="005B4105" w:rsidP="005B4105">
      <w:r w:rsidRPr="00D87B18">
        <w:tab/>
      </w:r>
      <w:r w:rsidRPr="00D87B18">
        <w:tab/>
        <w:t>PADM 624:</w:t>
      </w:r>
      <w:r w:rsidRPr="00D87B18">
        <w:tab/>
        <w:t>Human Resources Administration</w:t>
      </w:r>
    </w:p>
    <w:p w14:paraId="59F5BE4A" w14:textId="77777777" w:rsidR="005B4105" w:rsidRPr="00D87B18" w:rsidRDefault="005B4105" w:rsidP="005B4105">
      <w:pPr>
        <w:ind w:left="1440"/>
      </w:pPr>
      <w:r w:rsidRPr="00D87B18">
        <w:t xml:space="preserve">Plus three additional  600 level </w:t>
      </w:r>
      <w:proofErr w:type="spellStart"/>
      <w:r w:rsidRPr="00D87B18">
        <w:t>cources</w:t>
      </w:r>
      <w:proofErr w:type="spellEnd"/>
      <w:r w:rsidRPr="00D87B18">
        <w:t xml:space="preserve">, mostly offered by the </w:t>
      </w:r>
      <w:smartTag w:uri="urn:schemas-microsoft-com:office:smarttags" w:element="place">
        <w:smartTag w:uri="urn:schemas-microsoft-com:office:smarttags" w:element="PlaceType">
          <w:r w:rsidRPr="00D87B18">
            <w:t>School</w:t>
          </w:r>
        </w:smartTag>
        <w:r w:rsidRPr="00D87B18">
          <w:t xml:space="preserve"> of </w:t>
        </w:r>
        <w:smartTag w:uri="urn:schemas-microsoft-com:office:smarttags" w:element="PlaceName">
          <w:r w:rsidRPr="00D87B18">
            <w:t>Nursing</w:t>
          </w:r>
        </w:smartTag>
      </w:smartTag>
      <w:r w:rsidRPr="00D87B18">
        <w:t xml:space="preserve"> and the Department of Health Sciences</w:t>
      </w:r>
    </w:p>
    <w:p w14:paraId="439210F2" w14:textId="77777777" w:rsidR="005B4105" w:rsidRPr="00D87B18" w:rsidRDefault="005B4105" w:rsidP="00630F78">
      <w:pPr>
        <w:ind w:left="1440"/>
      </w:pPr>
    </w:p>
    <w:p w14:paraId="55A0FB9D" w14:textId="77777777" w:rsidR="005B4105" w:rsidRPr="00D87B18" w:rsidRDefault="005B4105" w:rsidP="00630F78">
      <w:pPr>
        <w:ind w:left="1440"/>
      </w:pPr>
      <w:r w:rsidRPr="00D87B18">
        <w:t>Criminal Justice Emphasis</w:t>
      </w:r>
    </w:p>
    <w:p w14:paraId="1BE19EDD" w14:textId="77777777" w:rsidR="005B4105" w:rsidRPr="00D87B18" w:rsidRDefault="005B4105" w:rsidP="00630F78">
      <w:pPr>
        <w:ind w:left="1440"/>
      </w:pPr>
      <w:r w:rsidRPr="00D87B18">
        <w:t xml:space="preserve">15 additional credits offered by the </w:t>
      </w:r>
      <w:proofErr w:type="spellStart"/>
      <w:smartTag w:uri="urn:schemas-microsoft-com:office:smarttags" w:element="place">
        <w:smartTag w:uri="urn:schemas-microsoft-com:office:smarttags" w:element="PlaceName">
          <w:r w:rsidRPr="00D87B18">
            <w:t>Justics</w:t>
          </w:r>
        </w:smartTag>
        <w:proofErr w:type="spellEnd"/>
        <w:r w:rsidRPr="00D87B18">
          <w:t xml:space="preserve"> </w:t>
        </w:r>
        <w:smartTag w:uri="urn:schemas-microsoft-com:office:smarttags" w:element="PlaceType">
          <w:r w:rsidRPr="00D87B18">
            <w:t>Center</w:t>
          </w:r>
        </w:smartTag>
      </w:smartTag>
    </w:p>
    <w:p w14:paraId="39983C2F" w14:textId="77777777" w:rsidR="005B4105" w:rsidRPr="00D87B18" w:rsidRDefault="005B4105" w:rsidP="00630F78">
      <w:pPr>
        <w:ind w:left="1440"/>
      </w:pPr>
    </w:p>
    <w:p w14:paraId="20499DE2" w14:textId="77777777" w:rsidR="005B4105" w:rsidRPr="00D87B18" w:rsidRDefault="005B4105" w:rsidP="00630F78">
      <w:pPr>
        <w:ind w:left="1440"/>
      </w:pPr>
      <w:r w:rsidRPr="00D87B18">
        <w:t>Other PADM Electives</w:t>
      </w:r>
    </w:p>
    <w:p w14:paraId="433AB387" w14:textId="77777777" w:rsidR="00630F78" w:rsidRPr="00D87B18" w:rsidRDefault="00A504BB" w:rsidP="00630F78">
      <w:pPr>
        <w:ind w:left="1440"/>
      </w:pPr>
      <w:r w:rsidRPr="00D87B18">
        <w:t>PADM 618:</w:t>
      </w:r>
      <w:r w:rsidRPr="00D87B18">
        <w:tab/>
      </w:r>
      <w:r w:rsidR="00630F78" w:rsidRPr="00D87B18">
        <w:t>Public Accountability, Ethics and the Law</w:t>
      </w:r>
    </w:p>
    <w:p w14:paraId="3E06265F" w14:textId="77777777" w:rsidR="00630F78" w:rsidRPr="00D87B18" w:rsidRDefault="00630F78" w:rsidP="00630F78">
      <w:pPr>
        <w:ind w:left="1440"/>
      </w:pPr>
      <w:r w:rsidRPr="00D87B18">
        <w:t xml:space="preserve">PADM 620: </w:t>
      </w:r>
      <w:r w:rsidRPr="00D87B18">
        <w:tab/>
        <w:t>Internship in Public Administration and Policy</w:t>
      </w:r>
    </w:p>
    <w:p w14:paraId="0CFAECAC" w14:textId="77777777" w:rsidR="00630F78" w:rsidRPr="00D87B18" w:rsidRDefault="00630F78" w:rsidP="00630F78">
      <w:pPr>
        <w:ind w:left="1440"/>
      </w:pPr>
      <w:r w:rsidRPr="00D87B18">
        <w:t>PADM 671:</w:t>
      </w:r>
      <w:r w:rsidRPr="00D87B18">
        <w:tab/>
        <w:t>Selected Topics</w:t>
      </w:r>
    </w:p>
    <w:p w14:paraId="11563404" w14:textId="77777777" w:rsidR="00630F78" w:rsidRPr="00D87B18" w:rsidRDefault="00630F78" w:rsidP="00630F78">
      <w:pPr>
        <w:ind w:left="1440"/>
      </w:pPr>
      <w:r w:rsidRPr="00D87B18">
        <w:t>PADM 688:</w:t>
      </w:r>
      <w:r w:rsidRPr="00D87B18">
        <w:tab/>
        <w:t>Program Evaluation and Performance Measurement</w:t>
      </w:r>
    </w:p>
    <w:p w14:paraId="33163367" w14:textId="77777777" w:rsidR="005B4105" w:rsidRPr="00D87B18" w:rsidRDefault="005B4105" w:rsidP="005B4105">
      <w:pPr>
        <w:ind w:left="1440"/>
      </w:pPr>
    </w:p>
    <w:p w14:paraId="75BEC7DD" w14:textId="77777777" w:rsidR="005B4105" w:rsidRPr="00D87B18" w:rsidRDefault="005B4105" w:rsidP="005B4105">
      <w:pPr>
        <w:ind w:left="1440"/>
      </w:pPr>
      <w:r w:rsidRPr="00D87B18">
        <w:t xml:space="preserve">All students are required to complete a final thesis.  </w:t>
      </w:r>
    </w:p>
    <w:p w14:paraId="33065422" w14:textId="77777777" w:rsidR="005B4105" w:rsidRPr="00D87B18" w:rsidRDefault="005B4105" w:rsidP="005B4105">
      <w:pPr>
        <w:ind w:left="1440"/>
      </w:pPr>
      <w:r w:rsidRPr="00D87B18">
        <w:t>PADM 659:</w:t>
      </w:r>
      <w:r w:rsidRPr="00D87B18">
        <w:tab/>
        <w:t>Public Administration Capstone</w:t>
      </w:r>
    </w:p>
    <w:p w14:paraId="4C208D4C" w14:textId="77777777" w:rsidR="00246C9A" w:rsidRPr="00246C9A" w:rsidRDefault="00246C9A" w:rsidP="00246C9A"/>
    <w:p w14:paraId="553EF78B" w14:textId="456844B4" w:rsidR="00A571DB" w:rsidRPr="00D87B18" w:rsidRDefault="009414FC" w:rsidP="00A571DB">
      <w:pPr>
        <w:pStyle w:val="Heading1"/>
        <w:rPr>
          <w:rFonts w:ascii="Times New Roman" w:hAnsi="Times New Roman"/>
          <w:bCs/>
        </w:rPr>
      </w:pPr>
      <w:r w:rsidRPr="00246C9A">
        <w:br w:type="page"/>
      </w:r>
      <w:bookmarkStart w:id="23" w:name="_Toc201137020"/>
      <w:r w:rsidR="00A571DB" w:rsidRPr="00D87B18">
        <w:rPr>
          <w:rFonts w:ascii="Times New Roman" w:hAnsi="Times New Roman"/>
          <w:bCs/>
        </w:rPr>
        <w:lastRenderedPageBreak/>
        <w:t>Public Administration Performance</w:t>
      </w:r>
      <w:bookmarkEnd w:id="23"/>
    </w:p>
    <w:p w14:paraId="6BAB6151" w14:textId="77777777" w:rsidR="009414FC" w:rsidRPr="00D87B18" w:rsidRDefault="009414FC" w:rsidP="009414FC"/>
    <w:p w14:paraId="28C147C1" w14:textId="77777777" w:rsidR="00A571DB" w:rsidRPr="00D87B18" w:rsidRDefault="00A571DB" w:rsidP="00A571DB">
      <w:r w:rsidRPr="00D87B18">
        <w:t>This section highlights the performance of the program using the common performance metrics of student hour production and the program’</w:t>
      </w:r>
      <w:r w:rsidR="009414FC" w:rsidRPr="00D87B18">
        <w:t>s success in training students for</w:t>
      </w:r>
      <w:r w:rsidRPr="00D87B18">
        <w:t xml:space="preserve"> high demand </w:t>
      </w:r>
      <w:r w:rsidR="009414FC" w:rsidRPr="00D87B18">
        <w:t>occupations</w:t>
      </w:r>
      <w:r w:rsidRPr="00D87B18">
        <w:t xml:space="preserve"> in </w:t>
      </w:r>
      <w:smartTag w:uri="urn:schemas-microsoft-com:office:smarttags" w:element="State">
        <w:smartTag w:uri="urn:schemas-microsoft-com:office:smarttags" w:element="place">
          <w:r w:rsidRPr="00D87B18">
            <w:t>Alaska</w:t>
          </w:r>
        </w:smartTag>
      </w:smartTag>
      <w:r w:rsidRPr="00D87B18">
        <w:t xml:space="preserve">.  In addition, it discusses the </w:t>
      </w:r>
      <w:r w:rsidR="009414FC" w:rsidRPr="00D87B18">
        <w:t>plans</w:t>
      </w:r>
      <w:r w:rsidRPr="00D87B18">
        <w:t xml:space="preserve"> to </w:t>
      </w:r>
      <w:r w:rsidR="009414FC" w:rsidRPr="00D87B18">
        <w:t>attract non-PADM students into the program.</w:t>
      </w:r>
    </w:p>
    <w:p w14:paraId="19EA7D2D" w14:textId="77777777" w:rsidR="00A571DB" w:rsidRPr="00D87B18" w:rsidRDefault="00A571DB" w:rsidP="00A571DB">
      <w:pPr>
        <w:rPr>
          <w:i/>
        </w:rPr>
      </w:pPr>
    </w:p>
    <w:p w14:paraId="53D0D474" w14:textId="77777777" w:rsidR="00A571DB" w:rsidRPr="00D87B18" w:rsidRDefault="00A571DB" w:rsidP="009414FC">
      <w:pPr>
        <w:pStyle w:val="Heading2"/>
        <w:rPr>
          <w:rFonts w:ascii="Times New Roman" w:hAnsi="Times New Roman"/>
          <w:sz w:val="24"/>
        </w:rPr>
      </w:pPr>
      <w:bookmarkStart w:id="24" w:name="_Toc201137021"/>
      <w:r w:rsidRPr="00D87B18">
        <w:rPr>
          <w:rFonts w:ascii="Times New Roman" w:hAnsi="Times New Roman"/>
          <w:sz w:val="24"/>
        </w:rPr>
        <w:t>Student Credit Hours</w:t>
      </w:r>
      <w:bookmarkEnd w:id="24"/>
    </w:p>
    <w:p w14:paraId="0D734D52" w14:textId="77777777" w:rsidR="00A571DB" w:rsidRPr="00D87B18" w:rsidRDefault="00A571DB" w:rsidP="00A571DB">
      <w:r w:rsidRPr="00D87B18">
        <w:tab/>
      </w:r>
    </w:p>
    <w:tbl>
      <w:tblPr>
        <w:tblStyle w:val="TableGrid"/>
        <w:tblW w:w="5304" w:type="pct"/>
        <w:tblLook w:val="01E0" w:firstRow="1" w:lastRow="1" w:firstColumn="1" w:lastColumn="1" w:noHBand="0" w:noVBand="0"/>
        <w:tblCaption w:val="Student Credit Hours"/>
        <w:tblDescription w:val="Summary of student credit hours for MPA students and PADM students (including not admitted to the program) showing baseline data, estimates, and targets and goals"/>
      </w:tblPr>
      <w:tblGrid>
        <w:gridCol w:w="938"/>
        <w:gridCol w:w="718"/>
        <w:gridCol w:w="718"/>
        <w:gridCol w:w="718"/>
        <w:gridCol w:w="718"/>
        <w:gridCol w:w="718"/>
        <w:gridCol w:w="1096"/>
        <w:gridCol w:w="718"/>
        <w:gridCol w:w="718"/>
        <w:gridCol w:w="718"/>
        <w:gridCol w:w="718"/>
        <w:gridCol w:w="718"/>
        <w:gridCol w:w="718"/>
      </w:tblGrid>
      <w:tr w:rsidR="00A571DB" w:rsidRPr="00D87B18" w14:paraId="75E7B31E" w14:textId="77777777" w:rsidTr="00532140">
        <w:trPr>
          <w:tblHeader/>
        </w:trPr>
        <w:tc>
          <w:tcPr>
            <w:tcW w:w="494" w:type="pct"/>
          </w:tcPr>
          <w:p w14:paraId="1B69FAD7" w14:textId="77777777" w:rsidR="00A571DB" w:rsidRPr="00D87B18" w:rsidRDefault="00A571DB" w:rsidP="00BE7A88"/>
        </w:tc>
        <w:tc>
          <w:tcPr>
            <w:tcW w:w="1878" w:type="pct"/>
            <w:gridSpan w:val="5"/>
          </w:tcPr>
          <w:p w14:paraId="4BC8B87C" w14:textId="77777777" w:rsidR="00A571DB" w:rsidRPr="00D87B18" w:rsidRDefault="00A571DB" w:rsidP="00BE7A88">
            <w:pPr>
              <w:jc w:val="center"/>
              <w:rPr>
                <w:sz w:val="22"/>
                <w:szCs w:val="22"/>
              </w:rPr>
            </w:pPr>
            <w:r w:rsidRPr="00D87B18">
              <w:rPr>
                <w:sz w:val="22"/>
                <w:szCs w:val="22"/>
              </w:rPr>
              <w:t>Baseline Data</w:t>
            </w:r>
          </w:p>
        </w:tc>
        <w:tc>
          <w:tcPr>
            <w:tcW w:w="376" w:type="pct"/>
          </w:tcPr>
          <w:p w14:paraId="6E5A5798" w14:textId="77777777" w:rsidR="00A571DB" w:rsidRPr="00D87B18" w:rsidRDefault="00A571DB" w:rsidP="00BE7A88">
            <w:pPr>
              <w:jc w:val="center"/>
              <w:rPr>
                <w:sz w:val="22"/>
                <w:szCs w:val="22"/>
              </w:rPr>
            </w:pPr>
            <w:r w:rsidRPr="00D87B18">
              <w:rPr>
                <w:sz w:val="22"/>
                <w:szCs w:val="22"/>
              </w:rPr>
              <w:t>Estimated</w:t>
            </w:r>
          </w:p>
        </w:tc>
        <w:tc>
          <w:tcPr>
            <w:tcW w:w="1502" w:type="pct"/>
            <w:gridSpan w:val="4"/>
          </w:tcPr>
          <w:p w14:paraId="1ADF474D" w14:textId="77777777" w:rsidR="00A571DB" w:rsidRPr="00D87B18" w:rsidRDefault="00A571DB" w:rsidP="00BE7A88">
            <w:pPr>
              <w:jc w:val="center"/>
              <w:rPr>
                <w:sz w:val="22"/>
                <w:szCs w:val="22"/>
              </w:rPr>
            </w:pPr>
            <w:r w:rsidRPr="00D87B18">
              <w:rPr>
                <w:sz w:val="22"/>
                <w:szCs w:val="22"/>
              </w:rPr>
              <w:t>Targets</w:t>
            </w:r>
          </w:p>
        </w:tc>
        <w:tc>
          <w:tcPr>
            <w:tcW w:w="751" w:type="pct"/>
            <w:gridSpan w:val="2"/>
          </w:tcPr>
          <w:p w14:paraId="02BF09CD" w14:textId="77777777" w:rsidR="00A571DB" w:rsidRPr="00D87B18" w:rsidRDefault="00A571DB" w:rsidP="00BE7A88">
            <w:pPr>
              <w:jc w:val="center"/>
              <w:rPr>
                <w:sz w:val="22"/>
                <w:szCs w:val="22"/>
              </w:rPr>
            </w:pPr>
            <w:r w:rsidRPr="00D87B18">
              <w:rPr>
                <w:sz w:val="22"/>
                <w:szCs w:val="22"/>
              </w:rPr>
              <w:t>Goals</w:t>
            </w:r>
          </w:p>
        </w:tc>
      </w:tr>
      <w:tr w:rsidR="00A571DB" w:rsidRPr="00D87B18" w14:paraId="4C90F3F5" w14:textId="77777777" w:rsidTr="00532140">
        <w:trPr>
          <w:tblHeader/>
        </w:trPr>
        <w:tc>
          <w:tcPr>
            <w:tcW w:w="494" w:type="pct"/>
          </w:tcPr>
          <w:p w14:paraId="54CF8833" w14:textId="77777777" w:rsidR="00A571DB" w:rsidRPr="00D87B18" w:rsidRDefault="00A571DB" w:rsidP="00BE7A88"/>
        </w:tc>
        <w:tc>
          <w:tcPr>
            <w:tcW w:w="376" w:type="pct"/>
          </w:tcPr>
          <w:p w14:paraId="38A8F880" w14:textId="77777777" w:rsidR="00A571DB" w:rsidRPr="00D87B18" w:rsidRDefault="00A571DB" w:rsidP="00BE7A88">
            <w:pPr>
              <w:jc w:val="center"/>
              <w:rPr>
                <w:sz w:val="22"/>
                <w:szCs w:val="22"/>
              </w:rPr>
            </w:pPr>
            <w:r w:rsidRPr="00D87B18">
              <w:rPr>
                <w:sz w:val="22"/>
                <w:szCs w:val="22"/>
              </w:rPr>
              <w:t>FY03</w:t>
            </w:r>
          </w:p>
        </w:tc>
        <w:tc>
          <w:tcPr>
            <w:tcW w:w="376" w:type="pct"/>
          </w:tcPr>
          <w:p w14:paraId="45521686" w14:textId="77777777" w:rsidR="00A571DB" w:rsidRPr="00D87B18" w:rsidRDefault="00A571DB" w:rsidP="00BE7A88">
            <w:pPr>
              <w:jc w:val="center"/>
              <w:rPr>
                <w:sz w:val="22"/>
                <w:szCs w:val="22"/>
              </w:rPr>
            </w:pPr>
            <w:r w:rsidRPr="00D87B18">
              <w:rPr>
                <w:sz w:val="22"/>
                <w:szCs w:val="22"/>
              </w:rPr>
              <w:t>FY04</w:t>
            </w:r>
          </w:p>
        </w:tc>
        <w:tc>
          <w:tcPr>
            <w:tcW w:w="376" w:type="pct"/>
          </w:tcPr>
          <w:p w14:paraId="7936EC37" w14:textId="77777777" w:rsidR="00A571DB" w:rsidRPr="00D87B18" w:rsidRDefault="00A571DB" w:rsidP="00BE7A88">
            <w:pPr>
              <w:jc w:val="center"/>
              <w:rPr>
                <w:sz w:val="22"/>
                <w:szCs w:val="22"/>
              </w:rPr>
            </w:pPr>
            <w:r w:rsidRPr="00D87B18">
              <w:rPr>
                <w:sz w:val="22"/>
                <w:szCs w:val="22"/>
              </w:rPr>
              <w:t>FY05</w:t>
            </w:r>
          </w:p>
        </w:tc>
        <w:tc>
          <w:tcPr>
            <w:tcW w:w="376" w:type="pct"/>
          </w:tcPr>
          <w:p w14:paraId="4B10FC81" w14:textId="77777777" w:rsidR="00A571DB" w:rsidRPr="00D87B18" w:rsidRDefault="00A571DB" w:rsidP="00BE7A88">
            <w:pPr>
              <w:jc w:val="center"/>
              <w:rPr>
                <w:sz w:val="22"/>
                <w:szCs w:val="22"/>
              </w:rPr>
            </w:pPr>
            <w:r w:rsidRPr="00D87B18">
              <w:rPr>
                <w:sz w:val="22"/>
                <w:szCs w:val="22"/>
              </w:rPr>
              <w:t>FY06</w:t>
            </w:r>
          </w:p>
        </w:tc>
        <w:tc>
          <w:tcPr>
            <w:tcW w:w="376" w:type="pct"/>
          </w:tcPr>
          <w:p w14:paraId="65B3CAE3" w14:textId="77777777" w:rsidR="00A571DB" w:rsidRPr="00D87B18" w:rsidRDefault="00A571DB" w:rsidP="00BE7A88">
            <w:pPr>
              <w:jc w:val="center"/>
              <w:rPr>
                <w:sz w:val="22"/>
                <w:szCs w:val="22"/>
              </w:rPr>
            </w:pPr>
            <w:r w:rsidRPr="00D87B18">
              <w:rPr>
                <w:sz w:val="22"/>
                <w:szCs w:val="22"/>
              </w:rPr>
              <w:t>FY07</w:t>
            </w:r>
          </w:p>
        </w:tc>
        <w:tc>
          <w:tcPr>
            <w:tcW w:w="376" w:type="pct"/>
          </w:tcPr>
          <w:p w14:paraId="3D7B4121" w14:textId="77777777" w:rsidR="00A571DB" w:rsidRPr="00D87B18" w:rsidRDefault="00A571DB" w:rsidP="00BE7A88">
            <w:pPr>
              <w:jc w:val="center"/>
              <w:rPr>
                <w:sz w:val="22"/>
                <w:szCs w:val="22"/>
              </w:rPr>
            </w:pPr>
            <w:r w:rsidRPr="00D87B18">
              <w:rPr>
                <w:sz w:val="22"/>
                <w:szCs w:val="22"/>
              </w:rPr>
              <w:t>FY08</w:t>
            </w:r>
          </w:p>
        </w:tc>
        <w:tc>
          <w:tcPr>
            <w:tcW w:w="376" w:type="pct"/>
          </w:tcPr>
          <w:p w14:paraId="3C7E6096" w14:textId="77777777" w:rsidR="00A571DB" w:rsidRPr="00D87B18" w:rsidRDefault="00A571DB" w:rsidP="00BE7A88">
            <w:pPr>
              <w:jc w:val="center"/>
              <w:rPr>
                <w:sz w:val="22"/>
                <w:szCs w:val="22"/>
              </w:rPr>
            </w:pPr>
            <w:r w:rsidRPr="00D87B18">
              <w:rPr>
                <w:sz w:val="22"/>
                <w:szCs w:val="22"/>
              </w:rPr>
              <w:t>FY08</w:t>
            </w:r>
          </w:p>
        </w:tc>
        <w:tc>
          <w:tcPr>
            <w:tcW w:w="376" w:type="pct"/>
          </w:tcPr>
          <w:p w14:paraId="574C2CEA" w14:textId="77777777" w:rsidR="00A571DB" w:rsidRPr="00D87B18" w:rsidRDefault="00A571DB" w:rsidP="00BE7A88">
            <w:pPr>
              <w:jc w:val="center"/>
              <w:rPr>
                <w:sz w:val="22"/>
                <w:szCs w:val="22"/>
              </w:rPr>
            </w:pPr>
            <w:r w:rsidRPr="00D87B18">
              <w:rPr>
                <w:sz w:val="22"/>
                <w:szCs w:val="22"/>
              </w:rPr>
              <w:t>FY09</w:t>
            </w:r>
          </w:p>
        </w:tc>
        <w:tc>
          <w:tcPr>
            <w:tcW w:w="376" w:type="pct"/>
          </w:tcPr>
          <w:p w14:paraId="2063DF5B" w14:textId="77777777" w:rsidR="00A571DB" w:rsidRPr="00D87B18" w:rsidRDefault="00A571DB" w:rsidP="00BE7A88">
            <w:pPr>
              <w:jc w:val="center"/>
              <w:rPr>
                <w:sz w:val="22"/>
                <w:szCs w:val="22"/>
              </w:rPr>
            </w:pPr>
            <w:r w:rsidRPr="00D87B18">
              <w:rPr>
                <w:sz w:val="22"/>
                <w:szCs w:val="22"/>
              </w:rPr>
              <w:t>FY10</w:t>
            </w:r>
          </w:p>
        </w:tc>
        <w:tc>
          <w:tcPr>
            <w:tcW w:w="376" w:type="pct"/>
          </w:tcPr>
          <w:p w14:paraId="327C7170" w14:textId="77777777" w:rsidR="00A571DB" w:rsidRPr="00D87B18" w:rsidRDefault="00A571DB" w:rsidP="00BE7A88">
            <w:pPr>
              <w:jc w:val="center"/>
              <w:rPr>
                <w:sz w:val="22"/>
                <w:szCs w:val="22"/>
              </w:rPr>
            </w:pPr>
            <w:r w:rsidRPr="00D87B18">
              <w:rPr>
                <w:sz w:val="22"/>
                <w:szCs w:val="22"/>
              </w:rPr>
              <w:t>FY11</w:t>
            </w:r>
          </w:p>
        </w:tc>
        <w:tc>
          <w:tcPr>
            <w:tcW w:w="376" w:type="pct"/>
          </w:tcPr>
          <w:p w14:paraId="6B18A52F" w14:textId="77777777" w:rsidR="00A571DB" w:rsidRPr="00D87B18" w:rsidRDefault="00A571DB" w:rsidP="00BE7A88">
            <w:pPr>
              <w:jc w:val="center"/>
              <w:rPr>
                <w:sz w:val="22"/>
                <w:szCs w:val="22"/>
              </w:rPr>
            </w:pPr>
            <w:r w:rsidRPr="00D87B18">
              <w:rPr>
                <w:sz w:val="22"/>
                <w:szCs w:val="22"/>
              </w:rPr>
              <w:t>FY12</w:t>
            </w:r>
          </w:p>
        </w:tc>
        <w:tc>
          <w:tcPr>
            <w:tcW w:w="376" w:type="pct"/>
          </w:tcPr>
          <w:p w14:paraId="2B85F190" w14:textId="77777777" w:rsidR="00A571DB" w:rsidRPr="00D87B18" w:rsidRDefault="00A571DB" w:rsidP="00BE7A88">
            <w:pPr>
              <w:jc w:val="center"/>
              <w:rPr>
                <w:sz w:val="22"/>
                <w:szCs w:val="22"/>
              </w:rPr>
            </w:pPr>
            <w:r w:rsidRPr="00D87B18">
              <w:rPr>
                <w:sz w:val="22"/>
                <w:szCs w:val="22"/>
              </w:rPr>
              <w:t>FY13</w:t>
            </w:r>
          </w:p>
        </w:tc>
      </w:tr>
      <w:tr w:rsidR="00A571DB" w:rsidRPr="00D87B18" w14:paraId="59C14106" w14:textId="77777777" w:rsidTr="00BE7A88">
        <w:tc>
          <w:tcPr>
            <w:tcW w:w="494" w:type="pct"/>
          </w:tcPr>
          <w:p w14:paraId="6FEBE541" w14:textId="77777777" w:rsidR="00A571DB" w:rsidRPr="00D87B18" w:rsidRDefault="00A571DB" w:rsidP="00BE7A88">
            <w:pPr>
              <w:rPr>
                <w:sz w:val="22"/>
                <w:szCs w:val="22"/>
              </w:rPr>
            </w:pPr>
            <w:r w:rsidRPr="00D87B18">
              <w:rPr>
                <w:sz w:val="22"/>
                <w:szCs w:val="22"/>
              </w:rPr>
              <w:t>SCH MPA students</w:t>
            </w:r>
          </w:p>
        </w:tc>
        <w:tc>
          <w:tcPr>
            <w:tcW w:w="376" w:type="pct"/>
          </w:tcPr>
          <w:p w14:paraId="47C6D3FE" w14:textId="77777777" w:rsidR="00A571DB" w:rsidRPr="00D87B18" w:rsidRDefault="00A571DB" w:rsidP="00BE7A88">
            <w:pPr>
              <w:rPr>
                <w:sz w:val="22"/>
                <w:szCs w:val="22"/>
              </w:rPr>
            </w:pPr>
          </w:p>
          <w:p w14:paraId="31BF87F9" w14:textId="77777777" w:rsidR="00A571DB" w:rsidRPr="00D87B18" w:rsidRDefault="00A571DB" w:rsidP="00BE7A88">
            <w:pPr>
              <w:rPr>
                <w:sz w:val="22"/>
                <w:szCs w:val="22"/>
              </w:rPr>
            </w:pPr>
            <w:r w:rsidRPr="00D87B18">
              <w:rPr>
                <w:sz w:val="22"/>
                <w:szCs w:val="22"/>
              </w:rPr>
              <w:t>225</w:t>
            </w:r>
          </w:p>
        </w:tc>
        <w:tc>
          <w:tcPr>
            <w:tcW w:w="376" w:type="pct"/>
          </w:tcPr>
          <w:p w14:paraId="1BD026FD" w14:textId="77777777" w:rsidR="00A571DB" w:rsidRPr="00D87B18" w:rsidRDefault="00A571DB" w:rsidP="00BE7A88">
            <w:pPr>
              <w:rPr>
                <w:sz w:val="22"/>
                <w:szCs w:val="22"/>
              </w:rPr>
            </w:pPr>
          </w:p>
          <w:p w14:paraId="1B746EFC" w14:textId="77777777" w:rsidR="00A571DB" w:rsidRPr="00D87B18" w:rsidRDefault="00A571DB" w:rsidP="00BE7A88">
            <w:pPr>
              <w:rPr>
                <w:sz w:val="22"/>
                <w:szCs w:val="22"/>
              </w:rPr>
            </w:pPr>
            <w:r w:rsidRPr="00D87B18">
              <w:rPr>
                <w:sz w:val="22"/>
                <w:szCs w:val="22"/>
              </w:rPr>
              <w:t>261</w:t>
            </w:r>
          </w:p>
        </w:tc>
        <w:tc>
          <w:tcPr>
            <w:tcW w:w="376" w:type="pct"/>
          </w:tcPr>
          <w:p w14:paraId="5CD2806D" w14:textId="77777777" w:rsidR="00A571DB" w:rsidRPr="00D87B18" w:rsidRDefault="00A571DB" w:rsidP="00BE7A88">
            <w:pPr>
              <w:rPr>
                <w:sz w:val="22"/>
                <w:szCs w:val="22"/>
              </w:rPr>
            </w:pPr>
          </w:p>
          <w:p w14:paraId="1295CF5C" w14:textId="77777777" w:rsidR="00A571DB" w:rsidRPr="00D87B18" w:rsidRDefault="00A571DB" w:rsidP="00BE7A88">
            <w:pPr>
              <w:rPr>
                <w:sz w:val="22"/>
                <w:szCs w:val="22"/>
              </w:rPr>
            </w:pPr>
            <w:r w:rsidRPr="00D87B18">
              <w:rPr>
                <w:sz w:val="22"/>
                <w:szCs w:val="22"/>
              </w:rPr>
              <w:t>246</w:t>
            </w:r>
          </w:p>
        </w:tc>
        <w:tc>
          <w:tcPr>
            <w:tcW w:w="376" w:type="pct"/>
          </w:tcPr>
          <w:p w14:paraId="1840B645" w14:textId="77777777" w:rsidR="00A571DB" w:rsidRPr="00D87B18" w:rsidRDefault="00A571DB" w:rsidP="00BE7A88">
            <w:pPr>
              <w:rPr>
                <w:sz w:val="22"/>
                <w:szCs w:val="22"/>
              </w:rPr>
            </w:pPr>
          </w:p>
          <w:p w14:paraId="059D313D" w14:textId="77777777" w:rsidR="00A571DB" w:rsidRPr="00D87B18" w:rsidRDefault="00A571DB" w:rsidP="00BE7A88">
            <w:pPr>
              <w:rPr>
                <w:sz w:val="22"/>
                <w:szCs w:val="22"/>
              </w:rPr>
            </w:pPr>
            <w:r w:rsidRPr="00D87B18">
              <w:rPr>
                <w:sz w:val="22"/>
                <w:szCs w:val="22"/>
              </w:rPr>
              <w:t>267</w:t>
            </w:r>
          </w:p>
        </w:tc>
        <w:tc>
          <w:tcPr>
            <w:tcW w:w="376" w:type="pct"/>
          </w:tcPr>
          <w:p w14:paraId="7A769F2A" w14:textId="77777777" w:rsidR="00A571DB" w:rsidRPr="00D87B18" w:rsidRDefault="00A571DB" w:rsidP="00BE7A88">
            <w:pPr>
              <w:rPr>
                <w:sz w:val="22"/>
                <w:szCs w:val="22"/>
              </w:rPr>
            </w:pPr>
          </w:p>
          <w:p w14:paraId="33C4FC54" w14:textId="77777777" w:rsidR="00A571DB" w:rsidRPr="00D87B18" w:rsidRDefault="00A571DB" w:rsidP="00BE7A88">
            <w:pPr>
              <w:rPr>
                <w:sz w:val="22"/>
                <w:szCs w:val="22"/>
              </w:rPr>
            </w:pPr>
            <w:r w:rsidRPr="00D87B18">
              <w:rPr>
                <w:sz w:val="22"/>
                <w:szCs w:val="22"/>
              </w:rPr>
              <w:t>399</w:t>
            </w:r>
          </w:p>
        </w:tc>
        <w:tc>
          <w:tcPr>
            <w:tcW w:w="376" w:type="pct"/>
          </w:tcPr>
          <w:p w14:paraId="2710F5EA" w14:textId="77777777" w:rsidR="00A571DB" w:rsidRPr="00D87B18" w:rsidRDefault="00A571DB" w:rsidP="00BE7A88">
            <w:pPr>
              <w:rPr>
                <w:sz w:val="22"/>
                <w:szCs w:val="22"/>
              </w:rPr>
            </w:pPr>
          </w:p>
          <w:p w14:paraId="50B6CBDA" w14:textId="77777777" w:rsidR="00A571DB" w:rsidRPr="00D87B18" w:rsidRDefault="00A571DB" w:rsidP="00BE7A88">
            <w:pPr>
              <w:rPr>
                <w:sz w:val="22"/>
                <w:szCs w:val="22"/>
              </w:rPr>
            </w:pPr>
            <w:r w:rsidRPr="00D87B18">
              <w:rPr>
                <w:sz w:val="22"/>
                <w:szCs w:val="22"/>
              </w:rPr>
              <w:t>448</w:t>
            </w:r>
          </w:p>
        </w:tc>
        <w:tc>
          <w:tcPr>
            <w:tcW w:w="376" w:type="pct"/>
          </w:tcPr>
          <w:p w14:paraId="0FB74CBB" w14:textId="77777777" w:rsidR="00A571DB" w:rsidRPr="00D87B18" w:rsidRDefault="00A571DB" w:rsidP="00BE7A88">
            <w:pPr>
              <w:rPr>
                <w:sz w:val="22"/>
                <w:szCs w:val="22"/>
              </w:rPr>
            </w:pPr>
          </w:p>
          <w:p w14:paraId="06074FF2" w14:textId="77777777" w:rsidR="00A571DB" w:rsidRPr="00D87B18" w:rsidRDefault="00A571DB" w:rsidP="00BE7A88">
            <w:pPr>
              <w:rPr>
                <w:sz w:val="22"/>
                <w:szCs w:val="22"/>
              </w:rPr>
            </w:pPr>
            <w:r w:rsidRPr="00D87B18">
              <w:rPr>
                <w:sz w:val="22"/>
                <w:szCs w:val="22"/>
              </w:rPr>
              <w:t>449</w:t>
            </w:r>
          </w:p>
        </w:tc>
        <w:tc>
          <w:tcPr>
            <w:tcW w:w="376" w:type="pct"/>
          </w:tcPr>
          <w:p w14:paraId="61929841" w14:textId="77777777" w:rsidR="00A571DB" w:rsidRPr="00D87B18" w:rsidRDefault="00A571DB" w:rsidP="00BE7A88">
            <w:pPr>
              <w:rPr>
                <w:sz w:val="22"/>
                <w:szCs w:val="22"/>
              </w:rPr>
            </w:pPr>
          </w:p>
          <w:p w14:paraId="4FE7EF4C" w14:textId="77777777" w:rsidR="00A571DB" w:rsidRPr="00D87B18" w:rsidRDefault="00A571DB" w:rsidP="00BE7A88">
            <w:pPr>
              <w:rPr>
                <w:sz w:val="22"/>
                <w:szCs w:val="22"/>
              </w:rPr>
            </w:pPr>
            <w:r w:rsidRPr="00D87B18">
              <w:rPr>
                <w:sz w:val="22"/>
                <w:szCs w:val="22"/>
              </w:rPr>
              <w:t>505</w:t>
            </w:r>
          </w:p>
        </w:tc>
        <w:tc>
          <w:tcPr>
            <w:tcW w:w="376" w:type="pct"/>
          </w:tcPr>
          <w:p w14:paraId="0FD40FDA" w14:textId="77777777" w:rsidR="00A571DB" w:rsidRPr="00D87B18" w:rsidRDefault="00A571DB" w:rsidP="00BE7A88">
            <w:pPr>
              <w:rPr>
                <w:sz w:val="22"/>
                <w:szCs w:val="22"/>
              </w:rPr>
            </w:pPr>
          </w:p>
          <w:p w14:paraId="5570DE7C" w14:textId="77777777" w:rsidR="00A571DB" w:rsidRPr="00D87B18" w:rsidRDefault="00A571DB" w:rsidP="00BE7A88">
            <w:pPr>
              <w:rPr>
                <w:sz w:val="22"/>
                <w:szCs w:val="22"/>
              </w:rPr>
            </w:pPr>
            <w:r w:rsidRPr="00D87B18">
              <w:rPr>
                <w:sz w:val="22"/>
                <w:szCs w:val="22"/>
              </w:rPr>
              <w:t>568</w:t>
            </w:r>
          </w:p>
          <w:p w14:paraId="66140F0A" w14:textId="77777777" w:rsidR="00A571DB" w:rsidRPr="00D87B18" w:rsidRDefault="00A571DB" w:rsidP="00BE7A88">
            <w:pPr>
              <w:rPr>
                <w:sz w:val="22"/>
                <w:szCs w:val="22"/>
              </w:rPr>
            </w:pPr>
          </w:p>
        </w:tc>
        <w:tc>
          <w:tcPr>
            <w:tcW w:w="376" w:type="pct"/>
          </w:tcPr>
          <w:p w14:paraId="2A91E43A" w14:textId="77777777" w:rsidR="00A571DB" w:rsidRPr="00D87B18" w:rsidRDefault="00A571DB" w:rsidP="00BE7A88">
            <w:pPr>
              <w:rPr>
                <w:sz w:val="22"/>
                <w:szCs w:val="22"/>
              </w:rPr>
            </w:pPr>
          </w:p>
          <w:p w14:paraId="39ED46A2" w14:textId="77777777" w:rsidR="00A571DB" w:rsidRPr="00D87B18" w:rsidRDefault="00A571DB" w:rsidP="00BE7A88">
            <w:pPr>
              <w:rPr>
                <w:sz w:val="22"/>
                <w:szCs w:val="22"/>
              </w:rPr>
            </w:pPr>
            <w:r w:rsidRPr="00D87B18">
              <w:rPr>
                <w:sz w:val="22"/>
                <w:szCs w:val="22"/>
              </w:rPr>
              <w:t>639</w:t>
            </w:r>
          </w:p>
        </w:tc>
        <w:tc>
          <w:tcPr>
            <w:tcW w:w="376" w:type="pct"/>
          </w:tcPr>
          <w:p w14:paraId="5EBB8C37" w14:textId="77777777" w:rsidR="00A571DB" w:rsidRPr="00D87B18" w:rsidRDefault="00A571DB" w:rsidP="00BE7A88">
            <w:pPr>
              <w:rPr>
                <w:sz w:val="22"/>
                <w:szCs w:val="22"/>
              </w:rPr>
            </w:pPr>
          </w:p>
          <w:p w14:paraId="5BFF123D" w14:textId="77777777" w:rsidR="00A571DB" w:rsidRPr="00D87B18" w:rsidRDefault="00A571DB" w:rsidP="00BE7A88">
            <w:pPr>
              <w:rPr>
                <w:sz w:val="22"/>
                <w:szCs w:val="22"/>
              </w:rPr>
            </w:pPr>
            <w:r w:rsidRPr="00D87B18">
              <w:rPr>
                <w:sz w:val="22"/>
                <w:szCs w:val="22"/>
              </w:rPr>
              <w:t>719</w:t>
            </w:r>
          </w:p>
        </w:tc>
        <w:tc>
          <w:tcPr>
            <w:tcW w:w="376" w:type="pct"/>
          </w:tcPr>
          <w:p w14:paraId="636B9C74" w14:textId="77777777" w:rsidR="00A571DB" w:rsidRPr="00D87B18" w:rsidRDefault="00A571DB" w:rsidP="00BE7A88">
            <w:pPr>
              <w:rPr>
                <w:sz w:val="22"/>
                <w:szCs w:val="22"/>
              </w:rPr>
            </w:pPr>
          </w:p>
          <w:p w14:paraId="325DF65E" w14:textId="77777777" w:rsidR="00A571DB" w:rsidRPr="00D87B18" w:rsidRDefault="00A571DB" w:rsidP="00BE7A88">
            <w:pPr>
              <w:rPr>
                <w:sz w:val="22"/>
                <w:szCs w:val="22"/>
              </w:rPr>
            </w:pPr>
            <w:r w:rsidRPr="00D87B18">
              <w:rPr>
                <w:sz w:val="22"/>
                <w:szCs w:val="22"/>
              </w:rPr>
              <w:t>808</w:t>
            </w:r>
          </w:p>
        </w:tc>
      </w:tr>
      <w:tr w:rsidR="00A571DB" w:rsidRPr="00D87B18" w14:paraId="67C556BE" w14:textId="77777777" w:rsidTr="00BE7A88">
        <w:tc>
          <w:tcPr>
            <w:tcW w:w="494" w:type="pct"/>
          </w:tcPr>
          <w:p w14:paraId="65E86AF4" w14:textId="77777777" w:rsidR="00A571DB" w:rsidRPr="00D87B18" w:rsidRDefault="00A571DB" w:rsidP="00BE7A88">
            <w:pPr>
              <w:rPr>
                <w:sz w:val="22"/>
                <w:szCs w:val="22"/>
              </w:rPr>
            </w:pPr>
            <w:r w:rsidRPr="00D87B18">
              <w:rPr>
                <w:sz w:val="22"/>
                <w:szCs w:val="22"/>
              </w:rPr>
              <w:t>SCH PADM students</w:t>
            </w:r>
          </w:p>
        </w:tc>
        <w:tc>
          <w:tcPr>
            <w:tcW w:w="376" w:type="pct"/>
          </w:tcPr>
          <w:p w14:paraId="205C0270" w14:textId="77777777" w:rsidR="00A571DB" w:rsidRPr="00D87B18" w:rsidRDefault="00A571DB" w:rsidP="00BE7A88">
            <w:pPr>
              <w:rPr>
                <w:sz w:val="22"/>
                <w:szCs w:val="22"/>
              </w:rPr>
            </w:pPr>
          </w:p>
          <w:p w14:paraId="04D63678" w14:textId="77777777" w:rsidR="00A571DB" w:rsidRPr="00D87B18" w:rsidRDefault="00A571DB" w:rsidP="00BE7A88">
            <w:pPr>
              <w:rPr>
                <w:sz w:val="22"/>
                <w:szCs w:val="22"/>
              </w:rPr>
            </w:pPr>
            <w:r w:rsidRPr="00D87B18">
              <w:rPr>
                <w:sz w:val="22"/>
                <w:szCs w:val="22"/>
              </w:rPr>
              <w:t>471</w:t>
            </w:r>
          </w:p>
        </w:tc>
        <w:tc>
          <w:tcPr>
            <w:tcW w:w="376" w:type="pct"/>
          </w:tcPr>
          <w:p w14:paraId="28F43A6A" w14:textId="77777777" w:rsidR="00A571DB" w:rsidRPr="00D87B18" w:rsidRDefault="00A571DB" w:rsidP="00BE7A88">
            <w:pPr>
              <w:rPr>
                <w:sz w:val="22"/>
                <w:szCs w:val="22"/>
              </w:rPr>
            </w:pPr>
          </w:p>
          <w:p w14:paraId="3C71BD6A" w14:textId="77777777" w:rsidR="00A571DB" w:rsidRPr="00D87B18" w:rsidRDefault="00A571DB" w:rsidP="00BE7A88">
            <w:pPr>
              <w:rPr>
                <w:sz w:val="22"/>
                <w:szCs w:val="22"/>
              </w:rPr>
            </w:pPr>
            <w:r w:rsidRPr="00D87B18">
              <w:rPr>
                <w:sz w:val="22"/>
                <w:szCs w:val="22"/>
              </w:rPr>
              <w:t>558</w:t>
            </w:r>
          </w:p>
        </w:tc>
        <w:tc>
          <w:tcPr>
            <w:tcW w:w="376" w:type="pct"/>
          </w:tcPr>
          <w:p w14:paraId="727C5B3B" w14:textId="77777777" w:rsidR="00A571DB" w:rsidRPr="00D87B18" w:rsidRDefault="00A571DB" w:rsidP="00BE7A88">
            <w:pPr>
              <w:rPr>
                <w:sz w:val="22"/>
                <w:szCs w:val="22"/>
              </w:rPr>
            </w:pPr>
          </w:p>
          <w:p w14:paraId="27C4CA77" w14:textId="77777777" w:rsidR="00A571DB" w:rsidRPr="00D87B18" w:rsidRDefault="00A571DB" w:rsidP="00BE7A88">
            <w:pPr>
              <w:rPr>
                <w:sz w:val="22"/>
                <w:szCs w:val="22"/>
              </w:rPr>
            </w:pPr>
            <w:r w:rsidRPr="00D87B18">
              <w:rPr>
                <w:sz w:val="22"/>
                <w:szCs w:val="22"/>
              </w:rPr>
              <w:t>469</w:t>
            </w:r>
          </w:p>
        </w:tc>
        <w:tc>
          <w:tcPr>
            <w:tcW w:w="376" w:type="pct"/>
          </w:tcPr>
          <w:p w14:paraId="4397FD97" w14:textId="77777777" w:rsidR="00A571DB" w:rsidRPr="00D87B18" w:rsidRDefault="00A571DB" w:rsidP="00BE7A88">
            <w:pPr>
              <w:rPr>
                <w:sz w:val="22"/>
                <w:szCs w:val="22"/>
              </w:rPr>
            </w:pPr>
          </w:p>
          <w:p w14:paraId="38E852D6" w14:textId="77777777" w:rsidR="00A571DB" w:rsidRPr="00D87B18" w:rsidRDefault="00A571DB" w:rsidP="00BE7A88">
            <w:pPr>
              <w:rPr>
                <w:sz w:val="22"/>
                <w:szCs w:val="22"/>
              </w:rPr>
            </w:pPr>
            <w:r w:rsidRPr="00D87B18">
              <w:rPr>
                <w:sz w:val="22"/>
                <w:szCs w:val="22"/>
              </w:rPr>
              <w:t>525</w:t>
            </w:r>
          </w:p>
        </w:tc>
        <w:tc>
          <w:tcPr>
            <w:tcW w:w="376" w:type="pct"/>
          </w:tcPr>
          <w:p w14:paraId="43BEB26F" w14:textId="77777777" w:rsidR="00A571DB" w:rsidRPr="00D87B18" w:rsidRDefault="00A571DB" w:rsidP="00BE7A88">
            <w:pPr>
              <w:rPr>
                <w:sz w:val="22"/>
                <w:szCs w:val="22"/>
              </w:rPr>
            </w:pPr>
          </w:p>
          <w:p w14:paraId="05D02C3C" w14:textId="77777777" w:rsidR="00A571DB" w:rsidRPr="00D87B18" w:rsidRDefault="00A571DB" w:rsidP="00BE7A88">
            <w:pPr>
              <w:rPr>
                <w:sz w:val="22"/>
                <w:szCs w:val="22"/>
              </w:rPr>
            </w:pPr>
            <w:r w:rsidRPr="00D87B18">
              <w:rPr>
                <w:sz w:val="22"/>
                <w:szCs w:val="22"/>
              </w:rPr>
              <w:t>663</w:t>
            </w:r>
          </w:p>
        </w:tc>
        <w:tc>
          <w:tcPr>
            <w:tcW w:w="376" w:type="pct"/>
          </w:tcPr>
          <w:p w14:paraId="1E3DC075" w14:textId="77777777" w:rsidR="00A571DB" w:rsidRPr="00D87B18" w:rsidRDefault="00A571DB" w:rsidP="00BE7A88">
            <w:pPr>
              <w:rPr>
                <w:sz w:val="22"/>
                <w:szCs w:val="22"/>
              </w:rPr>
            </w:pPr>
          </w:p>
          <w:p w14:paraId="420D06FF" w14:textId="77777777" w:rsidR="00A571DB" w:rsidRPr="00D87B18" w:rsidRDefault="00A571DB" w:rsidP="00BE7A88">
            <w:pPr>
              <w:rPr>
                <w:sz w:val="22"/>
                <w:szCs w:val="22"/>
              </w:rPr>
            </w:pPr>
            <w:r w:rsidRPr="00D87B18">
              <w:rPr>
                <w:sz w:val="22"/>
                <w:szCs w:val="22"/>
              </w:rPr>
              <w:t>746</w:t>
            </w:r>
          </w:p>
        </w:tc>
        <w:tc>
          <w:tcPr>
            <w:tcW w:w="376" w:type="pct"/>
          </w:tcPr>
          <w:p w14:paraId="08D22AD9" w14:textId="77777777" w:rsidR="00A571DB" w:rsidRPr="00D87B18" w:rsidRDefault="00A571DB" w:rsidP="00BE7A88">
            <w:pPr>
              <w:rPr>
                <w:sz w:val="22"/>
                <w:szCs w:val="22"/>
              </w:rPr>
            </w:pPr>
          </w:p>
          <w:p w14:paraId="01C281E1" w14:textId="77777777" w:rsidR="00A571DB" w:rsidRPr="00D87B18" w:rsidRDefault="00A571DB" w:rsidP="00BE7A88">
            <w:pPr>
              <w:rPr>
                <w:sz w:val="22"/>
                <w:szCs w:val="22"/>
              </w:rPr>
            </w:pPr>
            <w:r w:rsidRPr="00D87B18">
              <w:rPr>
                <w:sz w:val="22"/>
                <w:szCs w:val="22"/>
              </w:rPr>
              <w:t>746</w:t>
            </w:r>
          </w:p>
        </w:tc>
        <w:tc>
          <w:tcPr>
            <w:tcW w:w="376" w:type="pct"/>
          </w:tcPr>
          <w:p w14:paraId="1DFD4D50" w14:textId="77777777" w:rsidR="00A571DB" w:rsidRPr="00D87B18" w:rsidRDefault="00A571DB" w:rsidP="00BE7A88">
            <w:pPr>
              <w:rPr>
                <w:sz w:val="22"/>
                <w:szCs w:val="22"/>
              </w:rPr>
            </w:pPr>
          </w:p>
          <w:p w14:paraId="198BAEDD" w14:textId="77777777" w:rsidR="00A571DB" w:rsidRPr="00D87B18" w:rsidRDefault="00A571DB" w:rsidP="00BE7A88">
            <w:pPr>
              <w:rPr>
                <w:sz w:val="22"/>
                <w:szCs w:val="22"/>
              </w:rPr>
            </w:pPr>
            <w:r w:rsidRPr="00D87B18">
              <w:rPr>
                <w:sz w:val="22"/>
                <w:szCs w:val="22"/>
              </w:rPr>
              <w:t>839</w:t>
            </w:r>
          </w:p>
        </w:tc>
        <w:tc>
          <w:tcPr>
            <w:tcW w:w="376" w:type="pct"/>
          </w:tcPr>
          <w:p w14:paraId="1EC012A1" w14:textId="77777777" w:rsidR="00A571DB" w:rsidRPr="00D87B18" w:rsidRDefault="00A571DB" w:rsidP="00BE7A88">
            <w:pPr>
              <w:rPr>
                <w:sz w:val="22"/>
                <w:szCs w:val="22"/>
              </w:rPr>
            </w:pPr>
          </w:p>
          <w:p w14:paraId="499762C2" w14:textId="77777777" w:rsidR="00A571DB" w:rsidRPr="00D87B18" w:rsidRDefault="00A571DB" w:rsidP="00BE7A88">
            <w:pPr>
              <w:rPr>
                <w:sz w:val="22"/>
                <w:szCs w:val="22"/>
              </w:rPr>
            </w:pPr>
            <w:r w:rsidRPr="00D87B18">
              <w:rPr>
                <w:sz w:val="22"/>
                <w:szCs w:val="22"/>
              </w:rPr>
              <w:t>944</w:t>
            </w:r>
          </w:p>
        </w:tc>
        <w:tc>
          <w:tcPr>
            <w:tcW w:w="376" w:type="pct"/>
          </w:tcPr>
          <w:p w14:paraId="4FB49620" w14:textId="77777777" w:rsidR="00A571DB" w:rsidRPr="00D87B18" w:rsidRDefault="00A571DB" w:rsidP="00BE7A88">
            <w:pPr>
              <w:rPr>
                <w:sz w:val="22"/>
                <w:szCs w:val="22"/>
              </w:rPr>
            </w:pPr>
          </w:p>
          <w:p w14:paraId="5DF027CF" w14:textId="77777777" w:rsidR="00A571DB" w:rsidRPr="00D87B18" w:rsidRDefault="00A571DB" w:rsidP="00BE7A88">
            <w:pPr>
              <w:rPr>
                <w:sz w:val="22"/>
                <w:szCs w:val="22"/>
              </w:rPr>
            </w:pPr>
            <w:r w:rsidRPr="00D87B18">
              <w:rPr>
                <w:sz w:val="22"/>
                <w:szCs w:val="22"/>
              </w:rPr>
              <w:t>1062</w:t>
            </w:r>
          </w:p>
        </w:tc>
        <w:tc>
          <w:tcPr>
            <w:tcW w:w="376" w:type="pct"/>
          </w:tcPr>
          <w:p w14:paraId="61341666" w14:textId="77777777" w:rsidR="00A571DB" w:rsidRPr="00D87B18" w:rsidRDefault="00A571DB" w:rsidP="00BE7A88">
            <w:pPr>
              <w:rPr>
                <w:sz w:val="22"/>
                <w:szCs w:val="22"/>
              </w:rPr>
            </w:pPr>
          </w:p>
          <w:p w14:paraId="264C3DF8" w14:textId="77777777" w:rsidR="00A571DB" w:rsidRPr="00D87B18" w:rsidRDefault="00A571DB" w:rsidP="00BE7A88">
            <w:pPr>
              <w:rPr>
                <w:sz w:val="22"/>
                <w:szCs w:val="22"/>
              </w:rPr>
            </w:pPr>
            <w:r w:rsidRPr="00D87B18">
              <w:rPr>
                <w:sz w:val="22"/>
                <w:szCs w:val="22"/>
              </w:rPr>
              <w:t>1195</w:t>
            </w:r>
          </w:p>
        </w:tc>
        <w:tc>
          <w:tcPr>
            <w:tcW w:w="376" w:type="pct"/>
          </w:tcPr>
          <w:p w14:paraId="55F210AF" w14:textId="77777777" w:rsidR="00A571DB" w:rsidRPr="00D87B18" w:rsidRDefault="00A571DB" w:rsidP="00BE7A88">
            <w:pPr>
              <w:rPr>
                <w:sz w:val="22"/>
                <w:szCs w:val="22"/>
              </w:rPr>
            </w:pPr>
          </w:p>
          <w:p w14:paraId="4276EF41" w14:textId="77777777" w:rsidR="00A571DB" w:rsidRPr="00D87B18" w:rsidRDefault="00A571DB" w:rsidP="00BE7A88">
            <w:pPr>
              <w:rPr>
                <w:sz w:val="22"/>
                <w:szCs w:val="22"/>
              </w:rPr>
            </w:pPr>
            <w:r w:rsidRPr="00D87B18">
              <w:rPr>
                <w:sz w:val="22"/>
                <w:szCs w:val="22"/>
              </w:rPr>
              <w:t>1344</w:t>
            </w:r>
          </w:p>
        </w:tc>
      </w:tr>
    </w:tbl>
    <w:p w14:paraId="189DB7D4" w14:textId="77777777" w:rsidR="00A571DB" w:rsidRPr="00D87B18" w:rsidRDefault="00A571DB" w:rsidP="00A571DB"/>
    <w:p w14:paraId="75A1FCB4" w14:textId="77777777" w:rsidR="00A571DB" w:rsidRPr="00D87B18" w:rsidRDefault="00A571DB" w:rsidP="00A571DB">
      <w:pPr>
        <w:rPr>
          <w:sz w:val="20"/>
          <w:szCs w:val="20"/>
        </w:rPr>
      </w:pPr>
      <w:r w:rsidRPr="00D87B18">
        <w:rPr>
          <w:sz w:val="20"/>
          <w:szCs w:val="20"/>
        </w:rPr>
        <w:t xml:space="preserve">Note:  SCH-MPA students, reflects the credit hours for only those students officially accepted in the MPA program, and includes credit hours for ECON 625.  Although this course is listed with another department, it is a core course requirement of the MPA program, and primarily filled by MPA students.   For example, in FY07, 12 of the 13 students in the course were either in the MPA program or have since been admitted.  </w:t>
      </w:r>
    </w:p>
    <w:p w14:paraId="62688A89" w14:textId="77777777" w:rsidR="00A571DB" w:rsidRPr="00D87B18" w:rsidRDefault="00A571DB" w:rsidP="00A571DB">
      <w:pPr>
        <w:rPr>
          <w:sz w:val="20"/>
          <w:szCs w:val="20"/>
        </w:rPr>
      </w:pPr>
    </w:p>
    <w:p w14:paraId="5F97A16E" w14:textId="77777777" w:rsidR="00A571DB" w:rsidRPr="00D87B18" w:rsidRDefault="00A571DB" w:rsidP="00A571DB">
      <w:pPr>
        <w:rPr>
          <w:sz w:val="20"/>
          <w:szCs w:val="20"/>
        </w:rPr>
      </w:pPr>
      <w:r w:rsidRPr="00D87B18">
        <w:rPr>
          <w:sz w:val="20"/>
          <w:szCs w:val="20"/>
        </w:rPr>
        <w:t xml:space="preserve">SCH-PADM students, includes credit hours for all students enrolled in PADM courses, excluding 500 level workshop classes.  </w:t>
      </w:r>
    </w:p>
    <w:p w14:paraId="5718D5DF" w14:textId="77777777" w:rsidR="00A571DB" w:rsidRPr="00D87B18" w:rsidRDefault="00A571DB" w:rsidP="00A571DB"/>
    <w:p w14:paraId="6ED1AED7" w14:textId="77777777" w:rsidR="00A571DB" w:rsidRPr="00D87B18" w:rsidRDefault="00A571DB" w:rsidP="00A571DB">
      <w:r w:rsidRPr="00D87B18">
        <w:t xml:space="preserve">The Public Administration program has shown significant growth in the past five years, growing at an average annual rate of almost 9%.  Additional faculty will allow the department to increase the growth rate to 12.5% per year, which will double enrollment in 6 years.  </w:t>
      </w:r>
    </w:p>
    <w:p w14:paraId="7D2D5E58" w14:textId="77777777" w:rsidR="00A571DB" w:rsidRPr="00D87B18" w:rsidRDefault="00A571DB" w:rsidP="00A571DB"/>
    <w:p w14:paraId="50895A11" w14:textId="77777777" w:rsidR="00A571DB" w:rsidRPr="00D87B18" w:rsidRDefault="00A571DB" w:rsidP="009414FC">
      <w:pPr>
        <w:pStyle w:val="Heading2"/>
        <w:rPr>
          <w:rFonts w:ascii="Times New Roman" w:hAnsi="Times New Roman"/>
          <w:sz w:val="24"/>
        </w:rPr>
      </w:pPr>
      <w:bookmarkStart w:id="25" w:name="_Toc201137022"/>
      <w:r w:rsidRPr="00D87B18">
        <w:rPr>
          <w:rFonts w:ascii="Times New Roman" w:hAnsi="Times New Roman"/>
          <w:sz w:val="24"/>
        </w:rPr>
        <w:t>High Demand Job area degrees awarded</w:t>
      </w:r>
      <w:bookmarkEnd w:id="25"/>
    </w:p>
    <w:p w14:paraId="40512102" w14:textId="77777777" w:rsidR="00A571DB" w:rsidRPr="00D87B18" w:rsidRDefault="00A571DB" w:rsidP="00A571DB">
      <w:r w:rsidRPr="00D87B18">
        <w:tab/>
      </w:r>
    </w:p>
    <w:tbl>
      <w:tblPr>
        <w:tblStyle w:val="TableGrid"/>
        <w:tblW w:w="10158" w:type="dxa"/>
        <w:tblLook w:val="01E0" w:firstRow="1" w:lastRow="1" w:firstColumn="1" w:lastColumn="1" w:noHBand="0" w:noVBand="0"/>
        <w:tblCaption w:val="High Demand Job Area Degrees Awarded"/>
        <w:tblDescription w:val="Summary of MPA Graduates showing baseline data, estimates, and targets and goals"/>
      </w:tblPr>
      <w:tblGrid>
        <w:gridCol w:w="1059"/>
        <w:gridCol w:w="724"/>
        <w:gridCol w:w="725"/>
        <w:gridCol w:w="725"/>
        <w:gridCol w:w="725"/>
        <w:gridCol w:w="725"/>
        <w:gridCol w:w="1096"/>
        <w:gridCol w:w="736"/>
        <w:gridCol w:w="736"/>
        <w:gridCol w:w="736"/>
        <w:gridCol w:w="725"/>
        <w:gridCol w:w="725"/>
        <w:gridCol w:w="721"/>
      </w:tblGrid>
      <w:tr w:rsidR="00A571DB" w:rsidRPr="00D87B18" w14:paraId="3312930B" w14:textId="77777777" w:rsidTr="00532140">
        <w:trPr>
          <w:tblHeader/>
        </w:trPr>
        <w:tc>
          <w:tcPr>
            <w:tcW w:w="1059" w:type="dxa"/>
          </w:tcPr>
          <w:p w14:paraId="036C139C" w14:textId="77777777" w:rsidR="00A571DB" w:rsidRPr="00D87B18" w:rsidRDefault="00A571DB" w:rsidP="00BE7A88"/>
        </w:tc>
        <w:tc>
          <w:tcPr>
            <w:tcW w:w="3624" w:type="dxa"/>
            <w:gridSpan w:val="5"/>
          </w:tcPr>
          <w:p w14:paraId="6438FEE4" w14:textId="77777777" w:rsidR="00A571DB" w:rsidRPr="00D87B18" w:rsidRDefault="00A571DB" w:rsidP="00BE7A88">
            <w:pPr>
              <w:jc w:val="center"/>
              <w:rPr>
                <w:sz w:val="22"/>
                <w:szCs w:val="22"/>
              </w:rPr>
            </w:pPr>
            <w:r w:rsidRPr="00D87B18">
              <w:rPr>
                <w:sz w:val="22"/>
                <w:szCs w:val="22"/>
              </w:rPr>
              <w:t>Baseline Data</w:t>
            </w:r>
          </w:p>
        </w:tc>
        <w:tc>
          <w:tcPr>
            <w:tcW w:w="1096" w:type="dxa"/>
          </w:tcPr>
          <w:p w14:paraId="79976C02" w14:textId="77777777" w:rsidR="00A571DB" w:rsidRPr="00D87B18" w:rsidRDefault="00A571DB" w:rsidP="00BE7A88">
            <w:pPr>
              <w:jc w:val="center"/>
              <w:rPr>
                <w:sz w:val="22"/>
                <w:szCs w:val="22"/>
              </w:rPr>
            </w:pPr>
            <w:r w:rsidRPr="00D87B18">
              <w:rPr>
                <w:sz w:val="22"/>
                <w:szCs w:val="22"/>
              </w:rPr>
              <w:t>Estimated</w:t>
            </w:r>
          </w:p>
        </w:tc>
        <w:tc>
          <w:tcPr>
            <w:tcW w:w="2933" w:type="dxa"/>
            <w:gridSpan w:val="4"/>
          </w:tcPr>
          <w:p w14:paraId="41177A3E" w14:textId="77777777" w:rsidR="00A571DB" w:rsidRPr="00D87B18" w:rsidRDefault="00A571DB" w:rsidP="00BE7A88">
            <w:pPr>
              <w:jc w:val="center"/>
              <w:rPr>
                <w:sz w:val="22"/>
                <w:szCs w:val="22"/>
              </w:rPr>
            </w:pPr>
            <w:r w:rsidRPr="00D87B18">
              <w:rPr>
                <w:sz w:val="22"/>
                <w:szCs w:val="22"/>
              </w:rPr>
              <w:t>Targets</w:t>
            </w:r>
          </w:p>
        </w:tc>
        <w:tc>
          <w:tcPr>
            <w:tcW w:w="1446" w:type="dxa"/>
            <w:gridSpan w:val="2"/>
          </w:tcPr>
          <w:p w14:paraId="3CB97D8E" w14:textId="77777777" w:rsidR="00A571DB" w:rsidRPr="00D87B18" w:rsidRDefault="00A571DB" w:rsidP="00BE7A88">
            <w:pPr>
              <w:jc w:val="center"/>
              <w:rPr>
                <w:sz w:val="22"/>
                <w:szCs w:val="22"/>
              </w:rPr>
            </w:pPr>
            <w:r w:rsidRPr="00D87B18">
              <w:rPr>
                <w:sz w:val="22"/>
                <w:szCs w:val="22"/>
              </w:rPr>
              <w:t>Goals</w:t>
            </w:r>
          </w:p>
        </w:tc>
      </w:tr>
      <w:tr w:rsidR="00A571DB" w:rsidRPr="00D87B18" w14:paraId="4FE90BA8" w14:textId="77777777" w:rsidTr="00532140">
        <w:trPr>
          <w:tblHeader/>
        </w:trPr>
        <w:tc>
          <w:tcPr>
            <w:tcW w:w="1059" w:type="dxa"/>
          </w:tcPr>
          <w:p w14:paraId="6A9FDA65" w14:textId="77777777" w:rsidR="00A571DB" w:rsidRPr="00D87B18" w:rsidRDefault="00A571DB" w:rsidP="00BE7A88"/>
        </w:tc>
        <w:tc>
          <w:tcPr>
            <w:tcW w:w="724" w:type="dxa"/>
          </w:tcPr>
          <w:p w14:paraId="118A46E3" w14:textId="77777777" w:rsidR="00A571DB" w:rsidRPr="00D87B18" w:rsidRDefault="00A571DB" w:rsidP="00BE7A88">
            <w:pPr>
              <w:jc w:val="center"/>
              <w:rPr>
                <w:sz w:val="22"/>
                <w:szCs w:val="22"/>
              </w:rPr>
            </w:pPr>
            <w:r w:rsidRPr="00D87B18">
              <w:rPr>
                <w:sz w:val="22"/>
                <w:szCs w:val="22"/>
              </w:rPr>
              <w:t>FY03</w:t>
            </w:r>
          </w:p>
        </w:tc>
        <w:tc>
          <w:tcPr>
            <w:tcW w:w="725" w:type="dxa"/>
          </w:tcPr>
          <w:p w14:paraId="00CE1F0D" w14:textId="77777777" w:rsidR="00A571DB" w:rsidRPr="00D87B18" w:rsidRDefault="00A571DB" w:rsidP="00BE7A88">
            <w:pPr>
              <w:jc w:val="center"/>
              <w:rPr>
                <w:sz w:val="22"/>
                <w:szCs w:val="22"/>
              </w:rPr>
            </w:pPr>
            <w:r w:rsidRPr="00D87B18">
              <w:rPr>
                <w:sz w:val="22"/>
                <w:szCs w:val="22"/>
              </w:rPr>
              <w:t>FY04</w:t>
            </w:r>
          </w:p>
        </w:tc>
        <w:tc>
          <w:tcPr>
            <w:tcW w:w="725" w:type="dxa"/>
          </w:tcPr>
          <w:p w14:paraId="7E89EC1E" w14:textId="77777777" w:rsidR="00A571DB" w:rsidRPr="00D87B18" w:rsidRDefault="00A571DB" w:rsidP="00BE7A88">
            <w:pPr>
              <w:jc w:val="center"/>
              <w:rPr>
                <w:sz w:val="22"/>
                <w:szCs w:val="22"/>
              </w:rPr>
            </w:pPr>
            <w:r w:rsidRPr="00D87B18">
              <w:rPr>
                <w:sz w:val="22"/>
                <w:szCs w:val="22"/>
              </w:rPr>
              <w:t>FY05</w:t>
            </w:r>
          </w:p>
        </w:tc>
        <w:tc>
          <w:tcPr>
            <w:tcW w:w="725" w:type="dxa"/>
          </w:tcPr>
          <w:p w14:paraId="0C343629" w14:textId="77777777" w:rsidR="00A571DB" w:rsidRPr="00D87B18" w:rsidRDefault="00A571DB" w:rsidP="00BE7A88">
            <w:pPr>
              <w:jc w:val="center"/>
              <w:rPr>
                <w:sz w:val="22"/>
                <w:szCs w:val="22"/>
              </w:rPr>
            </w:pPr>
            <w:r w:rsidRPr="00D87B18">
              <w:rPr>
                <w:sz w:val="22"/>
                <w:szCs w:val="22"/>
              </w:rPr>
              <w:t>FY06</w:t>
            </w:r>
          </w:p>
        </w:tc>
        <w:tc>
          <w:tcPr>
            <w:tcW w:w="725" w:type="dxa"/>
          </w:tcPr>
          <w:p w14:paraId="4A0E7A44" w14:textId="77777777" w:rsidR="00A571DB" w:rsidRPr="00D87B18" w:rsidRDefault="00A571DB" w:rsidP="00BE7A88">
            <w:pPr>
              <w:jc w:val="center"/>
              <w:rPr>
                <w:sz w:val="22"/>
                <w:szCs w:val="22"/>
              </w:rPr>
            </w:pPr>
            <w:r w:rsidRPr="00D87B18">
              <w:rPr>
                <w:sz w:val="22"/>
                <w:szCs w:val="22"/>
              </w:rPr>
              <w:t>FY07</w:t>
            </w:r>
          </w:p>
        </w:tc>
        <w:tc>
          <w:tcPr>
            <w:tcW w:w="1096" w:type="dxa"/>
          </w:tcPr>
          <w:p w14:paraId="28756576" w14:textId="77777777" w:rsidR="00A571DB" w:rsidRPr="00D87B18" w:rsidRDefault="00A571DB" w:rsidP="00BE7A88">
            <w:pPr>
              <w:jc w:val="center"/>
              <w:rPr>
                <w:sz w:val="22"/>
                <w:szCs w:val="22"/>
              </w:rPr>
            </w:pPr>
            <w:r w:rsidRPr="00D87B18">
              <w:rPr>
                <w:sz w:val="22"/>
                <w:szCs w:val="22"/>
              </w:rPr>
              <w:t>FY08</w:t>
            </w:r>
          </w:p>
        </w:tc>
        <w:tc>
          <w:tcPr>
            <w:tcW w:w="736" w:type="dxa"/>
          </w:tcPr>
          <w:p w14:paraId="3AC222C7" w14:textId="77777777" w:rsidR="00A571DB" w:rsidRPr="00D87B18" w:rsidRDefault="00A571DB" w:rsidP="00BE7A88">
            <w:pPr>
              <w:jc w:val="center"/>
              <w:rPr>
                <w:sz w:val="22"/>
                <w:szCs w:val="22"/>
              </w:rPr>
            </w:pPr>
            <w:r w:rsidRPr="00D87B18">
              <w:rPr>
                <w:sz w:val="22"/>
                <w:szCs w:val="22"/>
              </w:rPr>
              <w:t>FY08</w:t>
            </w:r>
          </w:p>
        </w:tc>
        <w:tc>
          <w:tcPr>
            <w:tcW w:w="736" w:type="dxa"/>
          </w:tcPr>
          <w:p w14:paraId="44BD0E00" w14:textId="77777777" w:rsidR="00A571DB" w:rsidRPr="00D87B18" w:rsidRDefault="00A571DB" w:rsidP="00BE7A88">
            <w:pPr>
              <w:jc w:val="center"/>
              <w:rPr>
                <w:sz w:val="22"/>
                <w:szCs w:val="22"/>
              </w:rPr>
            </w:pPr>
            <w:r w:rsidRPr="00D87B18">
              <w:rPr>
                <w:sz w:val="22"/>
                <w:szCs w:val="22"/>
              </w:rPr>
              <w:t>FY09</w:t>
            </w:r>
          </w:p>
        </w:tc>
        <w:tc>
          <w:tcPr>
            <w:tcW w:w="736" w:type="dxa"/>
          </w:tcPr>
          <w:p w14:paraId="23CEEA72" w14:textId="77777777" w:rsidR="00A571DB" w:rsidRPr="00D87B18" w:rsidRDefault="00A571DB" w:rsidP="00BE7A88">
            <w:pPr>
              <w:jc w:val="center"/>
              <w:rPr>
                <w:sz w:val="22"/>
                <w:szCs w:val="22"/>
              </w:rPr>
            </w:pPr>
            <w:r w:rsidRPr="00D87B18">
              <w:rPr>
                <w:sz w:val="22"/>
                <w:szCs w:val="22"/>
              </w:rPr>
              <w:t>FY10</w:t>
            </w:r>
          </w:p>
        </w:tc>
        <w:tc>
          <w:tcPr>
            <w:tcW w:w="725" w:type="dxa"/>
          </w:tcPr>
          <w:p w14:paraId="5404E616" w14:textId="77777777" w:rsidR="00A571DB" w:rsidRPr="00D87B18" w:rsidRDefault="00A571DB" w:rsidP="00BE7A88">
            <w:pPr>
              <w:jc w:val="center"/>
              <w:rPr>
                <w:sz w:val="22"/>
                <w:szCs w:val="22"/>
              </w:rPr>
            </w:pPr>
            <w:r w:rsidRPr="00D87B18">
              <w:rPr>
                <w:sz w:val="22"/>
                <w:szCs w:val="22"/>
              </w:rPr>
              <w:t>FY11</w:t>
            </w:r>
          </w:p>
        </w:tc>
        <w:tc>
          <w:tcPr>
            <w:tcW w:w="725" w:type="dxa"/>
          </w:tcPr>
          <w:p w14:paraId="5AFBCF8E" w14:textId="77777777" w:rsidR="00A571DB" w:rsidRPr="00D87B18" w:rsidRDefault="00A571DB" w:rsidP="00BE7A88">
            <w:pPr>
              <w:jc w:val="center"/>
              <w:rPr>
                <w:sz w:val="22"/>
                <w:szCs w:val="22"/>
              </w:rPr>
            </w:pPr>
            <w:r w:rsidRPr="00D87B18">
              <w:rPr>
                <w:sz w:val="22"/>
                <w:szCs w:val="22"/>
              </w:rPr>
              <w:t>FY12</w:t>
            </w:r>
          </w:p>
        </w:tc>
        <w:tc>
          <w:tcPr>
            <w:tcW w:w="721" w:type="dxa"/>
          </w:tcPr>
          <w:p w14:paraId="09565434" w14:textId="77777777" w:rsidR="00A571DB" w:rsidRPr="00D87B18" w:rsidRDefault="00A571DB" w:rsidP="00BE7A88">
            <w:pPr>
              <w:jc w:val="center"/>
              <w:rPr>
                <w:sz w:val="22"/>
                <w:szCs w:val="22"/>
              </w:rPr>
            </w:pPr>
            <w:r w:rsidRPr="00D87B18">
              <w:rPr>
                <w:sz w:val="22"/>
                <w:szCs w:val="22"/>
              </w:rPr>
              <w:t>FY13</w:t>
            </w:r>
          </w:p>
        </w:tc>
      </w:tr>
      <w:tr w:rsidR="00A571DB" w:rsidRPr="00D87B18" w14:paraId="4D88D6FF" w14:textId="77777777" w:rsidTr="00BE7A88">
        <w:tc>
          <w:tcPr>
            <w:tcW w:w="1059" w:type="dxa"/>
          </w:tcPr>
          <w:p w14:paraId="3A7111C9" w14:textId="77777777" w:rsidR="00A571DB" w:rsidRPr="00D87B18" w:rsidRDefault="00A571DB" w:rsidP="00BE7A88">
            <w:pPr>
              <w:rPr>
                <w:sz w:val="22"/>
                <w:szCs w:val="22"/>
              </w:rPr>
            </w:pPr>
            <w:r w:rsidRPr="00D87B18">
              <w:rPr>
                <w:sz w:val="22"/>
                <w:szCs w:val="22"/>
              </w:rPr>
              <w:t>MPA graduates</w:t>
            </w:r>
          </w:p>
        </w:tc>
        <w:tc>
          <w:tcPr>
            <w:tcW w:w="724" w:type="dxa"/>
          </w:tcPr>
          <w:p w14:paraId="1EC41920" w14:textId="77777777" w:rsidR="00A571DB" w:rsidRPr="00D87B18" w:rsidRDefault="00A571DB" w:rsidP="00BE7A88">
            <w:pPr>
              <w:rPr>
                <w:sz w:val="22"/>
                <w:szCs w:val="22"/>
              </w:rPr>
            </w:pPr>
          </w:p>
          <w:p w14:paraId="64049094" w14:textId="77777777" w:rsidR="00A571DB" w:rsidRPr="00D87B18" w:rsidRDefault="00A571DB" w:rsidP="00BE7A88">
            <w:pPr>
              <w:rPr>
                <w:sz w:val="22"/>
                <w:szCs w:val="22"/>
              </w:rPr>
            </w:pPr>
            <w:r w:rsidRPr="00D87B18">
              <w:rPr>
                <w:sz w:val="22"/>
                <w:szCs w:val="22"/>
              </w:rPr>
              <w:t>8</w:t>
            </w:r>
          </w:p>
        </w:tc>
        <w:tc>
          <w:tcPr>
            <w:tcW w:w="725" w:type="dxa"/>
          </w:tcPr>
          <w:p w14:paraId="1E2B6133" w14:textId="77777777" w:rsidR="00A571DB" w:rsidRPr="00D87B18" w:rsidRDefault="00A571DB" w:rsidP="00BE7A88">
            <w:pPr>
              <w:rPr>
                <w:sz w:val="22"/>
                <w:szCs w:val="22"/>
              </w:rPr>
            </w:pPr>
          </w:p>
          <w:p w14:paraId="013C966E" w14:textId="77777777" w:rsidR="00A571DB" w:rsidRPr="00D87B18" w:rsidRDefault="00A571DB" w:rsidP="00BE7A88">
            <w:pPr>
              <w:rPr>
                <w:sz w:val="22"/>
                <w:szCs w:val="22"/>
              </w:rPr>
            </w:pPr>
            <w:r w:rsidRPr="00D87B18">
              <w:rPr>
                <w:sz w:val="22"/>
                <w:szCs w:val="22"/>
              </w:rPr>
              <w:t>9</w:t>
            </w:r>
          </w:p>
        </w:tc>
        <w:tc>
          <w:tcPr>
            <w:tcW w:w="725" w:type="dxa"/>
          </w:tcPr>
          <w:p w14:paraId="0C63B695" w14:textId="77777777" w:rsidR="00A571DB" w:rsidRPr="00D87B18" w:rsidRDefault="00A571DB" w:rsidP="00BE7A88">
            <w:pPr>
              <w:rPr>
                <w:sz w:val="22"/>
                <w:szCs w:val="22"/>
              </w:rPr>
            </w:pPr>
          </w:p>
          <w:p w14:paraId="68602395" w14:textId="77777777" w:rsidR="00A571DB" w:rsidRPr="00D87B18" w:rsidRDefault="00A571DB" w:rsidP="00BE7A88">
            <w:pPr>
              <w:rPr>
                <w:sz w:val="22"/>
                <w:szCs w:val="22"/>
              </w:rPr>
            </w:pPr>
            <w:r w:rsidRPr="00D87B18">
              <w:rPr>
                <w:sz w:val="22"/>
                <w:szCs w:val="22"/>
              </w:rPr>
              <w:t>5</w:t>
            </w:r>
          </w:p>
        </w:tc>
        <w:tc>
          <w:tcPr>
            <w:tcW w:w="725" w:type="dxa"/>
          </w:tcPr>
          <w:p w14:paraId="4B41EBF9" w14:textId="77777777" w:rsidR="00A571DB" w:rsidRPr="00D87B18" w:rsidRDefault="00A571DB" w:rsidP="00BE7A88">
            <w:pPr>
              <w:rPr>
                <w:sz w:val="22"/>
                <w:szCs w:val="22"/>
              </w:rPr>
            </w:pPr>
          </w:p>
          <w:p w14:paraId="3B0693B6" w14:textId="77777777" w:rsidR="00A571DB" w:rsidRPr="00D87B18" w:rsidRDefault="00A571DB" w:rsidP="00BE7A88">
            <w:pPr>
              <w:rPr>
                <w:sz w:val="22"/>
                <w:szCs w:val="22"/>
              </w:rPr>
            </w:pPr>
            <w:r w:rsidRPr="00D87B18">
              <w:rPr>
                <w:sz w:val="22"/>
                <w:szCs w:val="22"/>
              </w:rPr>
              <w:t>7</w:t>
            </w:r>
          </w:p>
        </w:tc>
        <w:tc>
          <w:tcPr>
            <w:tcW w:w="725" w:type="dxa"/>
          </w:tcPr>
          <w:p w14:paraId="065D884F" w14:textId="77777777" w:rsidR="00A571DB" w:rsidRPr="00D87B18" w:rsidRDefault="00A571DB" w:rsidP="00BE7A88">
            <w:pPr>
              <w:rPr>
                <w:sz w:val="22"/>
                <w:szCs w:val="22"/>
              </w:rPr>
            </w:pPr>
          </w:p>
          <w:p w14:paraId="4D42F459" w14:textId="77777777" w:rsidR="00A571DB" w:rsidRPr="00D87B18" w:rsidRDefault="00A571DB" w:rsidP="00BE7A88">
            <w:pPr>
              <w:rPr>
                <w:sz w:val="22"/>
                <w:szCs w:val="22"/>
              </w:rPr>
            </w:pPr>
            <w:r w:rsidRPr="00D87B18">
              <w:rPr>
                <w:sz w:val="22"/>
                <w:szCs w:val="22"/>
              </w:rPr>
              <w:t>15</w:t>
            </w:r>
          </w:p>
        </w:tc>
        <w:tc>
          <w:tcPr>
            <w:tcW w:w="1096" w:type="dxa"/>
          </w:tcPr>
          <w:p w14:paraId="1CA4D646" w14:textId="77777777" w:rsidR="00A571DB" w:rsidRPr="00D87B18" w:rsidRDefault="00A571DB" w:rsidP="00BE7A88">
            <w:pPr>
              <w:rPr>
                <w:sz w:val="22"/>
                <w:szCs w:val="22"/>
              </w:rPr>
            </w:pPr>
          </w:p>
          <w:p w14:paraId="7ABCEA08" w14:textId="77777777" w:rsidR="00A571DB" w:rsidRPr="00D87B18" w:rsidRDefault="00A571DB" w:rsidP="00BE7A88">
            <w:pPr>
              <w:rPr>
                <w:sz w:val="22"/>
                <w:szCs w:val="22"/>
              </w:rPr>
            </w:pPr>
            <w:r w:rsidRPr="00D87B18">
              <w:rPr>
                <w:sz w:val="22"/>
                <w:szCs w:val="22"/>
              </w:rPr>
              <w:t>18</w:t>
            </w:r>
          </w:p>
        </w:tc>
        <w:tc>
          <w:tcPr>
            <w:tcW w:w="736" w:type="dxa"/>
          </w:tcPr>
          <w:p w14:paraId="3C6B345C" w14:textId="77777777" w:rsidR="00A571DB" w:rsidRPr="00D87B18" w:rsidRDefault="00A571DB" w:rsidP="00BE7A88">
            <w:pPr>
              <w:rPr>
                <w:sz w:val="22"/>
                <w:szCs w:val="22"/>
              </w:rPr>
            </w:pPr>
          </w:p>
          <w:p w14:paraId="77C48635" w14:textId="77777777" w:rsidR="00A571DB" w:rsidRPr="00D87B18" w:rsidRDefault="00A571DB" w:rsidP="00BE7A88">
            <w:pPr>
              <w:rPr>
                <w:sz w:val="22"/>
                <w:szCs w:val="22"/>
              </w:rPr>
            </w:pPr>
            <w:r w:rsidRPr="00D87B18">
              <w:rPr>
                <w:sz w:val="22"/>
                <w:szCs w:val="22"/>
              </w:rPr>
              <w:t>18</w:t>
            </w:r>
          </w:p>
        </w:tc>
        <w:tc>
          <w:tcPr>
            <w:tcW w:w="736" w:type="dxa"/>
          </w:tcPr>
          <w:p w14:paraId="495DA8D2" w14:textId="77777777" w:rsidR="00A571DB" w:rsidRPr="00D87B18" w:rsidRDefault="00A571DB" w:rsidP="00BE7A88">
            <w:pPr>
              <w:rPr>
                <w:sz w:val="22"/>
                <w:szCs w:val="22"/>
              </w:rPr>
            </w:pPr>
          </w:p>
          <w:p w14:paraId="29226D03" w14:textId="77777777" w:rsidR="00A571DB" w:rsidRPr="00D87B18" w:rsidRDefault="00A571DB" w:rsidP="00BE7A88">
            <w:pPr>
              <w:rPr>
                <w:sz w:val="22"/>
                <w:szCs w:val="22"/>
              </w:rPr>
            </w:pPr>
            <w:r w:rsidRPr="00D87B18">
              <w:rPr>
                <w:sz w:val="22"/>
                <w:szCs w:val="22"/>
              </w:rPr>
              <w:t>20</w:t>
            </w:r>
          </w:p>
        </w:tc>
        <w:tc>
          <w:tcPr>
            <w:tcW w:w="736" w:type="dxa"/>
          </w:tcPr>
          <w:p w14:paraId="28BCD512" w14:textId="77777777" w:rsidR="00A571DB" w:rsidRPr="00D87B18" w:rsidRDefault="00A571DB" w:rsidP="00BE7A88">
            <w:pPr>
              <w:rPr>
                <w:sz w:val="22"/>
                <w:szCs w:val="22"/>
              </w:rPr>
            </w:pPr>
          </w:p>
          <w:p w14:paraId="6F46EA3B" w14:textId="77777777" w:rsidR="00A571DB" w:rsidRPr="00D87B18" w:rsidRDefault="00A571DB" w:rsidP="00BE7A88">
            <w:pPr>
              <w:rPr>
                <w:sz w:val="22"/>
                <w:szCs w:val="22"/>
              </w:rPr>
            </w:pPr>
            <w:r w:rsidRPr="00D87B18">
              <w:rPr>
                <w:sz w:val="22"/>
                <w:szCs w:val="22"/>
              </w:rPr>
              <w:t>22</w:t>
            </w:r>
          </w:p>
        </w:tc>
        <w:tc>
          <w:tcPr>
            <w:tcW w:w="725" w:type="dxa"/>
          </w:tcPr>
          <w:p w14:paraId="0E94B958" w14:textId="77777777" w:rsidR="00A571DB" w:rsidRPr="00D87B18" w:rsidRDefault="00A571DB" w:rsidP="00BE7A88">
            <w:pPr>
              <w:rPr>
                <w:sz w:val="22"/>
                <w:szCs w:val="22"/>
              </w:rPr>
            </w:pPr>
          </w:p>
          <w:p w14:paraId="7A972B9F" w14:textId="77777777" w:rsidR="00A571DB" w:rsidRPr="00D87B18" w:rsidRDefault="00A571DB" w:rsidP="00BE7A88">
            <w:pPr>
              <w:rPr>
                <w:sz w:val="22"/>
                <w:szCs w:val="22"/>
              </w:rPr>
            </w:pPr>
            <w:r w:rsidRPr="00D87B18">
              <w:rPr>
                <w:sz w:val="22"/>
                <w:szCs w:val="22"/>
              </w:rPr>
              <w:t>25</w:t>
            </w:r>
          </w:p>
        </w:tc>
        <w:tc>
          <w:tcPr>
            <w:tcW w:w="725" w:type="dxa"/>
          </w:tcPr>
          <w:p w14:paraId="14717DFB" w14:textId="77777777" w:rsidR="00A571DB" w:rsidRPr="00D87B18" w:rsidRDefault="00A571DB" w:rsidP="00BE7A88">
            <w:pPr>
              <w:rPr>
                <w:sz w:val="22"/>
                <w:szCs w:val="22"/>
              </w:rPr>
            </w:pPr>
          </w:p>
          <w:p w14:paraId="60FACC8A" w14:textId="77777777" w:rsidR="00A571DB" w:rsidRPr="00D87B18" w:rsidRDefault="00A571DB" w:rsidP="00BE7A88">
            <w:pPr>
              <w:rPr>
                <w:sz w:val="22"/>
                <w:szCs w:val="22"/>
              </w:rPr>
            </w:pPr>
            <w:r w:rsidRPr="00D87B18">
              <w:rPr>
                <w:sz w:val="22"/>
                <w:szCs w:val="22"/>
              </w:rPr>
              <w:t>28</w:t>
            </w:r>
          </w:p>
        </w:tc>
        <w:tc>
          <w:tcPr>
            <w:tcW w:w="721" w:type="dxa"/>
          </w:tcPr>
          <w:p w14:paraId="1085B97B" w14:textId="77777777" w:rsidR="00A571DB" w:rsidRPr="00D87B18" w:rsidRDefault="00A571DB" w:rsidP="00BE7A88">
            <w:pPr>
              <w:rPr>
                <w:sz w:val="22"/>
                <w:szCs w:val="22"/>
              </w:rPr>
            </w:pPr>
          </w:p>
          <w:p w14:paraId="75295402" w14:textId="77777777" w:rsidR="00A571DB" w:rsidRPr="00D87B18" w:rsidRDefault="00A571DB" w:rsidP="00BE7A88">
            <w:pPr>
              <w:rPr>
                <w:sz w:val="22"/>
                <w:szCs w:val="22"/>
              </w:rPr>
            </w:pPr>
            <w:r w:rsidRPr="00D87B18">
              <w:rPr>
                <w:sz w:val="22"/>
                <w:szCs w:val="22"/>
              </w:rPr>
              <w:t>31</w:t>
            </w:r>
          </w:p>
        </w:tc>
      </w:tr>
    </w:tbl>
    <w:p w14:paraId="15ACE1A9" w14:textId="77777777" w:rsidR="00A571DB" w:rsidRPr="00D87B18" w:rsidRDefault="00A571DB" w:rsidP="00A571DB"/>
    <w:p w14:paraId="2459CEE3" w14:textId="77777777" w:rsidR="00A571DB" w:rsidRPr="00D87B18" w:rsidRDefault="00A571DB" w:rsidP="00A571DB">
      <w:r w:rsidRPr="00D87B18">
        <w:t>The number of MPA degrees awarded had been fairly stable until FY07 when degrees awarded more than doubled from the previous year.  Based on the academic progress of current students, and an unusually large cohort, this is estimated to increase by 20 percent in FY08.  Thereafter, MPA degrees awarded will keep pace with the increase in credit hours, growing 12.5% annually.</w:t>
      </w:r>
    </w:p>
    <w:p w14:paraId="2462A0AD" w14:textId="77777777" w:rsidR="00A571DB" w:rsidRPr="00D87B18" w:rsidRDefault="00A571DB" w:rsidP="00A571DB"/>
    <w:p w14:paraId="76BAC7E3" w14:textId="77777777" w:rsidR="00A571DB" w:rsidRPr="00D87B18" w:rsidRDefault="00A571DB" w:rsidP="00A571DB">
      <w:r w:rsidRPr="00D87B18">
        <w:t xml:space="preserve">The Department of Public Administration awards the graduate MPA degree which trains students in Public Administration (PADM)  and Public Management (PMGT)  for  high demand jobs in the  area of business, finance and management.  However, Public Administration also provides training for other high demand areas, including health administration and professions in the non-profit sector.  Degrees within these areas are categorized in the Statewide Planning and Budget </w:t>
      </w:r>
      <w:r w:rsidRPr="00D87B18">
        <w:lastRenderedPageBreak/>
        <w:t xml:space="preserve">Development, Table of High Demand Job Area Degree Programs, within the High Demand Job Area of Health.  </w:t>
      </w:r>
    </w:p>
    <w:p w14:paraId="769354C2" w14:textId="77777777" w:rsidR="00A571DB" w:rsidRPr="00D87B18" w:rsidRDefault="00A571DB" w:rsidP="00A571DB"/>
    <w:p w14:paraId="0D279C14" w14:textId="77777777" w:rsidR="00A571DB" w:rsidRPr="00D87B18" w:rsidRDefault="00A571DB" w:rsidP="00A571DB">
      <w:r w:rsidRPr="00D87B18">
        <w:t xml:space="preserve">A Fraser Institute study of labor market characteristics lists </w:t>
      </w:r>
      <w:smartTag w:uri="urn:schemas-microsoft-com:office:smarttags" w:element="State">
        <w:r w:rsidRPr="00D87B18">
          <w:t>Alaska</w:t>
        </w:r>
      </w:smartTag>
      <w:r w:rsidRPr="00D87B18">
        <w:t xml:space="preserve"> as having over 25% of its employment constituted by the public sector, ranking higher than all other states and </w:t>
      </w:r>
      <w:smartTag w:uri="urn:schemas-microsoft-com:office:smarttags" w:element="country-region">
        <w:smartTag w:uri="urn:schemas-microsoft-com:office:smarttags" w:element="place">
          <w:r w:rsidRPr="00D87B18">
            <w:t>Canada</w:t>
          </w:r>
        </w:smartTag>
      </w:smartTag>
      <w:r w:rsidRPr="00D87B18">
        <w:t xml:space="preserve">.  This concentration of government employment underscores the critical need for the Public Administration program.  </w:t>
      </w:r>
    </w:p>
    <w:p w14:paraId="439B59A5" w14:textId="77777777" w:rsidR="00A571DB" w:rsidRPr="00D87B18" w:rsidRDefault="00A571DB" w:rsidP="00A571DB">
      <w:pPr>
        <w:rPr>
          <w:b/>
          <w:i/>
        </w:rPr>
      </w:pPr>
    </w:p>
    <w:p w14:paraId="39CAF97D" w14:textId="77777777" w:rsidR="00A571DB" w:rsidRPr="00D87B18" w:rsidRDefault="00A571DB" w:rsidP="009414FC">
      <w:pPr>
        <w:pStyle w:val="Heading2"/>
        <w:rPr>
          <w:rFonts w:ascii="Times New Roman" w:hAnsi="Times New Roman"/>
          <w:sz w:val="24"/>
        </w:rPr>
      </w:pPr>
      <w:bookmarkStart w:id="26" w:name="_Toc201137023"/>
      <w:r w:rsidRPr="00D87B18">
        <w:rPr>
          <w:rFonts w:ascii="Times New Roman" w:hAnsi="Times New Roman"/>
          <w:sz w:val="24"/>
        </w:rPr>
        <w:t>Strategic Enrollment Management Plans:</w:t>
      </w:r>
      <w:bookmarkEnd w:id="26"/>
      <w:r w:rsidRPr="00D87B18">
        <w:rPr>
          <w:rFonts w:ascii="Times New Roman" w:hAnsi="Times New Roman"/>
          <w:sz w:val="24"/>
        </w:rPr>
        <w:t xml:space="preserve">  </w:t>
      </w:r>
    </w:p>
    <w:p w14:paraId="3AD2157D" w14:textId="77777777" w:rsidR="00A571DB" w:rsidRPr="00D87B18" w:rsidRDefault="00A571DB" w:rsidP="00A571DB"/>
    <w:p w14:paraId="288F3786" w14:textId="77777777" w:rsidR="00A571DB" w:rsidRPr="00D87B18" w:rsidRDefault="00A571DB" w:rsidP="00A571DB">
      <w:r w:rsidRPr="00D87B18">
        <w:t>The department has made substantial progress in designing and implementing a plan for monitoring and managing enrollment.  Recruitment to date has focused on those enrolled in PADM courses but not enrolled in the MPA program.  In FY01 only 12% of non-degree seeking students later entered the program, increasing to 43% in FY06.</w:t>
      </w:r>
    </w:p>
    <w:p w14:paraId="1951E4BA" w14:textId="77777777" w:rsidR="00A571DB" w:rsidRPr="00D87B18" w:rsidRDefault="00A571DB" w:rsidP="00A571DB"/>
    <w:p w14:paraId="75C06D43" w14:textId="652E1063" w:rsidR="00A571DB" w:rsidRPr="00D87B18" w:rsidRDefault="007B4F6C" w:rsidP="0009321F">
      <w:pPr>
        <w:jc w:val="center"/>
      </w:pPr>
      <w:r w:rsidRPr="00D87B18">
        <w:rPr>
          <w:noProof/>
        </w:rPr>
        <w:drawing>
          <wp:inline distT="0" distB="0" distL="0" distR="0" wp14:anchorId="5F101FFD" wp14:editId="1729A2AF">
            <wp:extent cx="4276725" cy="2266950"/>
            <wp:effectExtent l="0" t="0" r="9525" b="0"/>
            <wp:docPr id="8" name="Object 8" descr="Percent of non-PADM students joining program"/>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2C9E4B" w14:textId="77777777" w:rsidR="00A571DB" w:rsidRPr="00D87B18" w:rsidRDefault="00A571DB" w:rsidP="00A571DB"/>
    <w:p w14:paraId="34C1A64C" w14:textId="77777777" w:rsidR="00A571DB" w:rsidRPr="00D87B18" w:rsidRDefault="00A571DB" w:rsidP="00A571DB"/>
    <w:p w14:paraId="4E70A3D8" w14:textId="77777777" w:rsidR="00A571DB" w:rsidRPr="00D87B18" w:rsidRDefault="00A571DB" w:rsidP="00A571DB">
      <w:r w:rsidRPr="00D87B18">
        <w:t>Beginning in Spring 2006, the department has had a graduate assistant employed 20 hours per week, allowing the program to make significant improvement in monitoring and managing enrollment and providing enhanced service to MPA students and prospective students.  All applicants are contacted in writing within 30 days of submitting an application and are invited to contact the program for assistance with the application process, enrollment or other concerns.  Students taking courses as non-degree seeking students are contacted when they are nearing the University’s 9 credit limit and encouraged to apply to the program.  All students enrolled in any PADM course within the past three semesters are invited to the annual MPA Open House and receive a copy of the department’s biennial newsletter.   Students who have been accepted into the program but have not taken classes within an academic year are contacted in hopes of drawing them back into classes.  The 20 hour/week graduate assistant position is critical to maintaining the current level of service.</w:t>
      </w:r>
    </w:p>
    <w:p w14:paraId="524A6B90" w14:textId="77777777" w:rsidR="00A571DB" w:rsidRPr="00D87B18" w:rsidRDefault="00A571DB" w:rsidP="00A571DB"/>
    <w:p w14:paraId="0C0D41D7" w14:textId="77777777" w:rsidR="00A571DB" w:rsidRPr="00D87B18" w:rsidRDefault="00A571DB" w:rsidP="00A571DB">
      <w:r w:rsidRPr="00D87B18">
        <w:t xml:space="preserve">However, additional faculty is needed to further progress in this area.  For example, the department’s five year review specifically mentions marketing as critical to the program’s growth, suggesting personal contact and outreach by faculty to various groups within the public </w:t>
      </w:r>
      <w:r w:rsidRPr="00D87B18">
        <w:lastRenderedPageBreak/>
        <w:t>and non-profit sectors.  In addition, limited faculty is unable to meet the demand for student access and advising.  Enhancing such personal connections is vital to retaining our students.</w:t>
      </w:r>
    </w:p>
    <w:p w14:paraId="73A3965D" w14:textId="77777777" w:rsidR="00A571DB" w:rsidRPr="00D87B18" w:rsidRDefault="00A571DB" w:rsidP="00A571DB">
      <w:pPr>
        <w:ind w:left="720"/>
        <w:rPr>
          <w:b/>
        </w:rPr>
      </w:pPr>
    </w:p>
    <w:p w14:paraId="65CC7601" w14:textId="77777777" w:rsidR="00A571DB" w:rsidRPr="00D87B18" w:rsidRDefault="009414FC" w:rsidP="009414FC">
      <w:pPr>
        <w:pStyle w:val="Heading2"/>
        <w:rPr>
          <w:rFonts w:ascii="Times New Roman" w:hAnsi="Times New Roman"/>
          <w:sz w:val="24"/>
        </w:rPr>
      </w:pPr>
      <w:bookmarkStart w:id="27" w:name="_Toc201137024"/>
      <w:r w:rsidRPr="00D87B18">
        <w:rPr>
          <w:rFonts w:ascii="Times New Roman" w:hAnsi="Times New Roman"/>
          <w:sz w:val="24"/>
        </w:rPr>
        <w:t>Conformance with UAA Strategic Goals</w:t>
      </w:r>
      <w:bookmarkEnd w:id="27"/>
    </w:p>
    <w:p w14:paraId="6FD7E6E4" w14:textId="77777777" w:rsidR="00A571DB" w:rsidRPr="00D87B18" w:rsidRDefault="00A571DB" w:rsidP="009414FC">
      <w:pPr>
        <w:rPr>
          <w:b/>
        </w:rPr>
      </w:pPr>
    </w:p>
    <w:p w14:paraId="48C1B38F" w14:textId="77777777" w:rsidR="00A571DB" w:rsidRPr="00D87B18" w:rsidRDefault="00A571DB" w:rsidP="009414FC">
      <w:pPr>
        <w:rPr>
          <w:b/>
          <w:bCs/>
          <w:u w:val="single"/>
        </w:rPr>
      </w:pPr>
      <w:r w:rsidRPr="00D87B18">
        <w:rPr>
          <w:b/>
          <w:bCs/>
          <w:u w:val="single"/>
        </w:rPr>
        <w:t>Goal 1: Student Success</w:t>
      </w:r>
    </w:p>
    <w:p w14:paraId="4A12632B" w14:textId="77777777" w:rsidR="00A571DB" w:rsidRPr="00D87B18" w:rsidRDefault="00A571DB" w:rsidP="009414FC">
      <w:pPr>
        <w:rPr>
          <w:b/>
          <w:i/>
          <w:iCs/>
        </w:rPr>
      </w:pPr>
    </w:p>
    <w:p w14:paraId="3E7349E1" w14:textId="77777777" w:rsidR="00A571DB" w:rsidRPr="00D87B18" w:rsidRDefault="00A571DB" w:rsidP="009414FC">
      <w:r w:rsidRPr="00D87B18">
        <w:t>The University will provide the learning environments, support systems, academic programs, facilities, technology, and faculty to enable the life-long success of our students, with their diverse needs, interests, capabilities, and ambitions.</w:t>
      </w:r>
    </w:p>
    <w:p w14:paraId="67E60DBC" w14:textId="77777777" w:rsidR="00A571DB" w:rsidRPr="00D87B18" w:rsidRDefault="00A571DB" w:rsidP="009414FC"/>
    <w:p w14:paraId="7FA9CCB2" w14:textId="77777777" w:rsidR="00A571DB" w:rsidRPr="00D87B18" w:rsidRDefault="00A571DB" w:rsidP="009414FC">
      <w:pPr>
        <w:rPr>
          <w:b/>
          <w:bCs/>
          <w:u w:val="single"/>
        </w:rPr>
      </w:pPr>
      <w:r w:rsidRPr="00D87B18">
        <w:rPr>
          <w:b/>
          <w:bCs/>
          <w:u w:val="single"/>
        </w:rPr>
        <w:t>Goal 2: Educational Quality</w:t>
      </w:r>
    </w:p>
    <w:p w14:paraId="301EBBFB" w14:textId="77777777" w:rsidR="00A571DB" w:rsidRPr="00D87B18" w:rsidRDefault="00A571DB" w:rsidP="009414FC"/>
    <w:p w14:paraId="261E54A4" w14:textId="77777777" w:rsidR="00A571DB" w:rsidRPr="00D87B18" w:rsidRDefault="00A571DB" w:rsidP="009414FC">
      <w:r w:rsidRPr="00D87B18">
        <w:t>The University will offer the highest quality in our educational offerings, from non-degree training programs to graduate degrees.  Our campuses will provide the highest possible quality programs and services within their respective missions.</w:t>
      </w:r>
    </w:p>
    <w:p w14:paraId="74A1E3DA" w14:textId="77777777" w:rsidR="00A571DB" w:rsidRPr="00D87B18" w:rsidRDefault="00A571DB" w:rsidP="009414FC"/>
    <w:p w14:paraId="01AF1EF4" w14:textId="77777777" w:rsidR="00A571DB" w:rsidRPr="00D87B18" w:rsidRDefault="00A571DB" w:rsidP="009414FC">
      <w:pPr>
        <w:rPr>
          <w:b/>
          <w:bCs/>
          <w:u w:val="single"/>
        </w:rPr>
      </w:pPr>
      <w:r w:rsidRPr="00D87B18">
        <w:rPr>
          <w:b/>
          <w:bCs/>
          <w:u w:val="single"/>
        </w:rPr>
        <w:t>Goal 3: Research Excellence</w:t>
      </w:r>
    </w:p>
    <w:p w14:paraId="36433AC0" w14:textId="77777777" w:rsidR="00A571DB" w:rsidRPr="00D87B18" w:rsidRDefault="00A571DB" w:rsidP="009414FC">
      <w:pPr>
        <w:rPr>
          <w:i/>
          <w:iCs/>
        </w:rPr>
      </w:pPr>
    </w:p>
    <w:p w14:paraId="4C31B5DD" w14:textId="77777777" w:rsidR="00A571DB" w:rsidRPr="00D87B18" w:rsidRDefault="00A571DB" w:rsidP="009414FC">
      <w:r w:rsidRPr="00D87B18">
        <w:t xml:space="preserve">The University will be a globally recognized leader in areas of research for which </w:t>
      </w:r>
      <w:smartTag w:uri="urn:schemas-microsoft-com:office:smarttags" w:element="State">
        <w:smartTag w:uri="urn:schemas-microsoft-com:office:smarttags" w:element="place">
          <w:r w:rsidRPr="00D87B18">
            <w:t>Alaska</w:t>
          </w:r>
        </w:smartTag>
      </w:smartTag>
      <w:r w:rsidRPr="00D87B18">
        <w:t xml:space="preserve"> has special competitive capabilities or unique environments in key areas of culture, economy, and health, using approaches that integrate the human dimension with natural sciences, and expand from basic processes to synthesis and policy advice.</w:t>
      </w:r>
    </w:p>
    <w:p w14:paraId="2A1AAF29" w14:textId="77777777" w:rsidR="00A571DB" w:rsidRPr="00D87B18" w:rsidRDefault="00A571DB" w:rsidP="009414FC">
      <w:pPr>
        <w:ind w:left="-360"/>
        <w:rPr>
          <w:b/>
          <w:bCs/>
          <w:u w:val="single"/>
        </w:rPr>
      </w:pPr>
    </w:p>
    <w:p w14:paraId="5CBE837F" w14:textId="77777777" w:rsidR="00A571DB" w:rsidRPr="00D87B18" w:rsidRDefault="00A571DB" w:rsidP="009414FC">
      <w:pPr>
        <w:rPr>
          <w:b/>
          <w:bCs/>
          <w:u w:val="single"/>
        </w:rPr>
      </w:pPr>
      <w:r w:rsidRPr="00D87B18">
        <w:rPr>
          <w:b/>
          <w:bCs/>
          <w:u w:val="single"/>
        </w:rPr>
        <w:t>Goal 4: Faculty and Staff Strength</w:t>
      </w:r>
    </w:p>
    <w:p w14:paraId="13C7838B" w14:textId="77777777" w:rsidR="00A571DB" w:rsidRPr="00D87B18" w:rsidRDefault="00A571DB" w:rsidP="009414FC">
      <w:pPr>
        <w:rPr>
          <w:i/>
          <w:iCs/>
        </w:rPr>
      </w:pPr>
    </w:p>
    <w:p w14:paraId="680E2E41" w14:textId="77777777" w:rsidR="00A571DB" w:rsidRPr="00D87B18" w:rsidRDefault="00A571DB" w:rsidP="009414FC">
      <w:r w:rsidRPr="00D87B18">
        <w:t>The University will recruit, develop, and retain a culturally diverse faculty and staff who bring excellence to our research, teaching, and public service and through innovative and mission-focused academic and staff human resources programs and services.</w:t>
      </w:r>
    </w:p>
    <w:p w14:paraId="03116DC0" w14:textId="77777777" w:rsidR="00A571DB" w:rsidRPr="00D87B18" w:rsidRDefault="00A571DB" w:rsidP="009414FC"/>
    <w:p w14:paraId="4EAC1513" w14:textId="77777777" w:rsidR="00A571DB" w:rsidRPr="00D87B18" w:rsidRDefault="00A571DB" w:rsidP="009414FC">
      <w:pPr>
        <w:ind w:firstLine="360"/>
        <w:rPr>
          <w:b/>
          <w:bCs/>
          <w:u w:val="single"/>
        </w:rPr>
      </w:pPr>
      <w:r w:rsidRPr="00D87B18">
        <w:rPr>
          <w:b/>
          <w:bCs/>
          <w:u w:val="single"/>
        </w:rPr>
        <w:t>Goal 5: Responsiveness to State Needs</w:t>
      </w:r>
    </w:p>
    <w:p w14:paraId="3AB147D5" w14:textId="77777777" w:rsidR="00A571DB" w:rsidRPr="00D87B18" w:rsidRDefault="00A571DB" w:rsidP="009414FC"/>
    <w:p w14:paraId="3E1D7D43" w14:textId="77777777" w:rsidR="00A571DB" w:rsidRPr="00D87B18" w:rsidRDefault="00A571DB" w:rsidP="009414FC">
      <w:r w:rsidRPr="00D87B18">
        <w:t xml:space="preserve">The University will continuously enhance its capacity to meet the changing needs of </w:t>
      </w:r>
      <w:smartTag w:uri="urn:schemas-microsoft-com:office:smarttags" w:element="State">
        <w:smartTag w:uri="urn:schemas-microsoft-com:office:smarttags" w:element="place">
          <w:r w:rsidRPr="00D87B18">
            <w:t>Alaska</w:t>
          </w:r>
        </w:smartTag>
      </w:smartTag>
      <w:r w:rsidRPr="00D87B18">
        <w:t xml:space="preserve">’s people and work through core programs as well as creative, entrepreneurial arrangements and partnerships to meet those needs.  Among the changing conditions affecting the state’s needs are continued rapid population growth in </w:t>
      </w:r>
      <w:smartTag w:uri="urn:schemas-microsoft-com:office:smarttags" w:element="City">
        <w:r w:rsidRPr="00D87B18">
          <w:t>Anchorage</w:t>
        </w:r>
      </w:smartTag>
      <w:r w:rsidRPr="00D87B18">
        <w:t xml:space="preserve"> and surrounding communities, the need for economic diversification, particularly in rural </w:t>
      </w:r>
      <w:smartTag w:uri="urn:schemas-microsoft-com:office:smarttags" w:element="State">
        <w:smartTag w:uri="urn:schemas-microsoft-com:office:smarttags" w:element="place">
          <w:r w:rsidRPr="00D87B18">
            <w:t>Alaska</w:t>
          </w:r>
        </w:smartTag>
      </w:smartTag>
      <w:r w:rsidRPr="00D87B18">
        <w:t>, and uncertainty regarding the state’s ability to provide for its own economic future.</w:t>
      </w:r>
    </w:p>
    <w:p w14:paraId="0C5B46BD" w14:textId="77777777" w:rsidR="00A571DB" w:rsidRPr="00D87B18" w:rsidRDefault="00A571DB" w:rsidP="009414FC"/>
    <w:p w14:paraId="24B57A82" w14:textId="77777777" w:rsidR="00A571DB" w:rsidRPr="00D87B18" w:rsidRDefault="00A571DB" w:rsidP="009414FC">
      <w:pPr>
        <w:ind w:left="720"/>
        <w:rPr>
          <w:i/>
        </w:rPr>
      </w:pPr>
      <w:r w:rsidRPr="00D87B18">
        <w:rPr>
          <w:i/>
          <w:iCs/>
        </w:rPr>
        <w:t xml:space="preserve">Goal 5 Objectives C and D </w:t>
      </w:r>
      <w:r w:rsidRPr="00D87B18">
        <w:t>Speak directly</w:t>
      </w:r>
      <w:r w:rsidRPr="00D87B18">
        <w:rPr>
          <w:i/>
        </w:rPr>
        <w:t xml:space="preserve"> </w:t>
      </w:r>
      <w:r w:rsidRPr="00D87B18">
        <w:t>the intent of the new MPA program development strategy and budget Request.</w:t>
      </w:r>
      <w:r w:rsidRPr="00D87B18">
        <w:rPr>
          <w:i/>
        </w:rPr>
        <w:t xml:space="preserve">  </w:t>
      </w:r>
    </w:p>
    <w:p w14:paraId="61298964" w14:textId="77777777" w:rsidR="00A571DB" w:rsidRPr="00D87B18" w:rsidRDefault="00A571DB" w:rsidP="009414FC">
      <w:pPr>
        <w:ind w:left="720"/>
        <w:rPr>
          <w:i/>
        </w:rPr>
      </w:pPr>
    </w:p>
    <w:p w14:paraId="1188BC10" w14:textId="77777777" w:rsidR="00A571DB" w:rsidRPr="00D87B18" w:rsidRDefault="00A571DB" w:rsidP="009414FC">
      <w:pPr>
        <w:ind w:left="720"/>
        <w:rPr>
          <w:i/>
          <w:iCs/>
        </w:rPr>
      </w:pPr>
      <w:r w:rsidRPr="00D87B18">
        <w:t>The 2007 Draft UAA Strategic Plan</w:t>
      </w:r>
      <w:r w:rsidRPr="00D87B18">
        <w:rPr>
          <w:i/>
        </w:rPr>
        <w:t xml:space="preserve"> states that the UAA objectives are:</w:t>
      </w:r>
    </w:p>
    <w:p w14:paraId="45A37985" w14:textId="77777777" w:rsidR="00A571DB" w:rsidRPr="00D87B18" w:rsidRDefault="00A571DB" w:rsidP="009414FC">
      <w:pPr>
        <w:ind w:left="720"/>
      </w:pPr>
      <w:r w:rsidRPr="00D87B18">
        <w:rPr>
          <w:i/>
          <w:iCs/>
        </w:rPr>
        <w:t>C.</w:t>
      </w:r>
      <w:r w:rsidRPr="00D87B18">
        <w:rPr>
          <w:iCs/>
        </w:rPr>
        <w:tab/>
      </w:r>
      <w:r w:rsidRPr="00D87B18">
        <w:rPr>
          <w:b/>
        </w:rPr>
        <w:t>Increase public policy analysis.</w:t>
      </w:r>
      <w:r w:rsidRPr="00D87B18">
        <w:rPr>
          <w:b/>
          <w:i/>
        </w:rPr>
        <w:t xml:space="preserve"> </w:t>
      </w:r>
    </w:p>
    <w:p w14:paraId="2B79B6A3" w14:textId="77777777" w:rsidR="00A571DB" w:rsidRPr="00D87B18" w:rsidRDefault="00A571DB" w:rsidP="00BE7A88">
      <w:pPr>
        <w:numPr>
          <w:ilvl w:val="0"/>
          <w:numId w:val="8"/>
        </w:numPr>
        <w:tabs>
          <w:tab w:val="clear" w:pos="1440"/>
          <w:tab w:val="num" w:pos="1800"/>
        </w:tabs>
        <w:ind w:left="1800"/>
      </w:pPr>
      <w:r w:rsidRPr="00D87B18">
        <w:t>Expand the study of critical public policy issues.</w:t>
      </w:r>
    </w:p>
    <w:p w14:paraId="77606474" w14:textId="77777777" w:rsidR="00A571DB" w:rsidRPr="00D87B18" w:rsidRDefault="00A571DB" w:rsidP="00BE7A88">
      <w:pPr>
        <w:numPr>
          <w:ilvl w:val="0"/>
          <w:numId w:val="8"/>
        </w:numPr>
        <w:tabs>
          <w:tab w:val="clear" w:pos="1440"/>
          <w:tab w:val="num" w:pos="1800"/>
        </w:tabs>
        <w:ind w:left="1800"/>
      </w:pPr>
      <w:r w:rsidRPr="00D87B18">
        <w:lastRenderedPageBreak/>
        <w:t>Develop the means to more rigorously identify critical public policy issues and expand faculty participation across the University.</w:t>
      </w:r>
    </w:p>
    <w:p w14:paraId="47FA9CCB" w14:textId="77777777" w:rsidR="00A571DB" w:rsidRPr="00D87B18" w:rsidRDefault="00A571DB" w:rsidP="00BE7A88">
      <w:pPr>
        <w:numPr>
          <w:ilvl w:val="0"/>
          <w:numId w:val="8"/>
        </w:numPr>
        <w:tabs>
          <w:tab w:val="clear" w:pos="1440"/>
          <w:tab w:val="num" w:pos="1800"/>
        </w:tabs>
        <w:ind w:left="1800"/>
      </w:pPr>
      <w:r w:rsidRPr="00D87B18">
        <w:t>Protect the role of the University as a venue for the exploration of potentially contentious issues.</w:t>
      </w:r>
    </w:p>
    <w:p w14:paraId="745DEBE3" w14:textId="77777777" w:rsidR="00A571DB" w:rsidRPr="00D87B18" w:rsidRDefault="00A571DB" w:rsidP="009414FC">
      <w:pPr>
        <w:ind w:left="720"/>
      </w:pPr>
      <w:r w:rsidRPr="00D87B18">
        <w:t xml:space="preserve">  </w:t>
      </w:r>
    </w:p>
    <w:p w14:paraId="522F62FE" w14:textId="77777777" w:rsidR="00A571DB" w:rsidRPr="00D87B18" w:rsidRDefault="00A571DB" w:rsidP="009414FC">
      <w:pPr>
        <w:ind w:left="720"/>
      </w:pPr>
      <w:r w:rsidRPr="00D87B18">
        <w:rPr>
          <w:i/>
        </w:rPr>
        <w:t>D.</w:t>
      </w:r>
      <w:r w:rsidRPr="00D87B18">
        <w:tab/>
      </w:r>
      <w:r w:rsidRPr="00D87B18">
        <w:rPr>
          <w:b/>
        </w:rPr>
        <w:t>Build community engagement programs.</w:t>
      </w:r>
    </w:p>
    <w:p w14:paraId="7EF58A1A" w14:textId="77777777" w:rsidR="00A571DB" w:rsidRPr="00D87B18" w:rsidRDefault="00A571DB" w:rsidP="00BE7A88">
      <w:pPr>
        <w:numPr>
          <w:ilvl w:val="0"/>
          <w:numId w:val="9"/>
        </w:numPr>
        <w:tabs>
          <w:tab w:val="clear" w:pos="1440"/>
          <w:tab w:val="num" w:pos="1800"/>
        </w:tabs>
        <w:ind w:left="1800"/>
      </w:pPr>
      <w:r w:rsidRPr="00D87B18">
        <w:t xml:space="preserve">Encourage faculty, student, and staff involvement in service to </w:t>
      </w:r>
      <w:smartTag w:uri="urn:schemas-microsoft-com:office:smarttags" w:element="State">
        <w:smartTag w:uri="urn:schemas-microsoft-com:office:smarttags" w:element="place">
          <w:r w:rsidRPr="00D87B18">
            <w:t>Alaska</w:t>
          </w:r>
        </w:smartTag>
      </w:smartTag>
      <w:r w:rsidRPr="00D87B18">
        <w:t>’s diverse communities.</w:t>
      </w:r>
    </w:p>
    <w:p w14:paraId="2CC013DD" w14:textId="77777777" w:rsidR="00A571DB" w:rsidRPr="00D87B18" w:rsidRDefault="00A571DB" w:rsidP="00BE7A88">
      <w:pPr>
        <w:numPr>
          <w:ilvl w:val="0"/>
          <w:numId w:val="9"/>
        </w:numPr>
        <w:tabs>
          <w:tab w:val="clear" w:pos="1440"/>
          <w:tab w:val="num" w:pos="1800"/>
        </w:tabs>
        <w:ind w:left="1800"/>
      </w:pPr>
      <w:r w:rsidRPr="00D87B18">
        <w:t>Integrate community service with research and instructional programs.</w:t>
      </w:r>
    </w:p>
    <w:p w14:paraId="5FC6C80B" w14:textId="77777777" w:rsidR="00A571DB" w:rsidRPr="00D87B18" w:rsidRDefault="00A571DB" w:rsidP="00BE7A88">
      <w:pPr>
        <w:numPr>
          <w:ilvl w:val="0"/>
          <w:numId w:val="9"/>
        </w:numPr>
        <w:tabs>
          <w:tab w:val="clear" w:pos="1440"/>
          <w:tab w:val="num" w:pos="1800"/>
        </w:tabs>
        <w:ind w:left="1800"/>
      </w:pPr>
      <w:r w:rsidRPr="00D87B18">
        <w:t xml:space="preserve">Increase partnerships with Alaska Native corporations and social service agencies to foster stronger communities.. </w:t>
      </w:r>
    </w:p>
    <w:p w14:paraId="67F54821" w14:textId="77777777" w:rsidR="009715C6" w:rsidRPr="00D87B18" w:rsidRDefault="009715C6" w:rsidP="005B4105">
      <w:pPr>
        <w:pStyle w:val="Level1"/>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8"/>
          <w:szCs w:val="28"/>
        </w:rPr>
      </w:pPr>
    </w:p>
    <w:p w14:paraId="47DCF6AD" w14:textId="77777777" w:rsidR="00924D52" w:rsidRPr="00D87B18" w:rsidRDefault="00894614" w:rsidP="005B4105">
      <w:pPr>
        <w:pStyle w:val="Heading1"/>
        <w:rPr>
          <w:rFonts w:ascii="Times New Roman" w:hAnsi="Times New Roman"/>
          <w:bCs/>
        </w:rPr>
      </w:pPr>
      <w:bookmarkStart w:id="28" w:name="_Toc201137025"/>
      <w:r w:rsidRPr="00D87B18">
        <w:rPr>
          <w:rFonts w:ascii="Times New Roman" w:hAnsi="Times New Roman"/>
          <w:bCs/>
        </w:rPr>
        <w:t>MPA</w:t>
      </w:r>
      <w:r w:rsidR="00924D52" w:rsidRPr="00D87B18">
        <w:rPr>
          <w:rFonts w:ascii="Times New Roman" w:hAnsi="Times New Roman"/>
          <w:bCs/>
        </w:rPr>
        <w:t xml:space="preserve"> Measurable Objectives</w:t>
      </w:r>
      <w:bookmarkEnd w:id="19"/>
      <w:bookmarkEnd w:id="20"/>
      <w:bookmarkEnd w:id="28"/>
    </w:p>
    <w:bookmarkEnd w:id="21"/>
    <w:p w14:paraId="02F018C7" w14:textId="77777777" w:rsidR="00924D52" w:rsidRPr="00D87B18" w:rsidRDefault="00924D52" w:rsidP="00493396">
      <w:pPr>
        <w:keepNext/>
        <w:keepLines/>
        <w:jc w:val="center"/>
      </w:pPr>
    </w:p>
    <w:p w14:paraId="4FF33A2C" w14:textId="77777777" w:rsidR="00BB7FD9" w:rsidRPr="00D87B18" w:rsidRDefault="00924D52">
      <w:r w:rsidRPr="00D87B18">
        <w:t xml:space="preserve">The achievement of each </w:t>
      </w:r>
      <w:r w:rsidR="00E12FE2" w:rsidRPr="00D87B18">
        <w:t>competency</w:t>
      </w:r>
      <w:r w:rsidRPr="00D87B18">
        <w:t xml:space="preserve"> is measured by student achievement of specific</w:t>
      </w:r>
      <w:r w:rsidR="004E2481" w:rsidRPr="00D87B18">
        <w:t xml:space="preserve"> and m</w:t>
      </w:r>
      <w:r w:rsidRPr="00D87B18">
        <w:t xml:space="preserve">easurable objectives.  </w:t>
      </w:r>
      <w:r w:rsidR="004E2481" w:rsidRPr="00D87B18">
        <w:t>The</w:t>
      </w:r>
      <w:r w:rsidR="00894614" w:rsidRPr="00D87B18">
        <w:t xml:space="preserve"> MPA</w:t>
      </w:r>
      <w:r w:rsidR="004E2481" w:rsidRPr="00D87B18">
        <w:t xml:space="preserve"> faculty has identified </w:t>
      </w:r>
      <w:r w:rsidRPr="00D87B18">
        <w:t xml:space="preserve">two </w:t>
      </w:r>
      <w:r w:rsidR="00E12FE2" w:rsidRPr="00D87B18">
        <w:t>ob</w:t>
      </w:r>
      <w:r w:rsidRPr="00D87B18">
        <w:t xml:space="preserve">jectives for each </w:t>
      </w:r>
      <w:r w:rsidR="00E12FE2" w:rsidRPr="00D87B18">
        <w:t>competency</w:t>
      </w:r>
      <w:r w:rsidRPr="00D87B18">
        <w:t>.</w:t>
      </w:r>
    </w:p>
    <w:p w14:paraId="410B8673" w14:textId="77777777" w:rsidR="00BB7FD9" w:rsidRPr="00D87B18" w:rsidRDefault="00BB7FD9">
      <w:pPr>
        <w:rPr>
          <w:b/>
          <w:bCs/>
          <w:szCs w:val="20"/>
        </w:rPr>
      </w:pPr>
      <w:r w:rsidRPr="00D87B18">
        <w:rPr>
          <w:b/>
          <w:bCs/>
          <w:szCs w:val="20"/>
        </w:rPr>
        <w:t xml:space="preserve"> </w:t>
      </w:r>
    </w:p>
    <w:tbl>
      <w:tblPr>
        <w:tblStyle w:val="TableGrid1"/>
        <w:tblW w:w="10079" w:type="dxa"/>
        <w:tblLook w:val="01E0" w:firstRow="1" w:lastRow="1" w:firstColumn="1" w:lastColumn="1" w:noHBand="0" w:noVBand="0"/>
        <w:tblCaption w:val="MPA Measurable Objectives"/>
        <w:tblDescription w:val="Summary of Competencies and Measurable Objectives in each"/>
      </w:tblPr>
      <w:tblGrid>
        <w:gridCol w:w="2791"/>
        <w:gridCol w:w="7288"/>
      </w:tblGrid>
      <w:tr w:rsidR="00BB7FD9" w:rsidRPr="005F233F" w14:paraId="572C9A53" w14:textId="77777777" w:rsidTr="00532140">
        <w:trPr>
          <w:tblHeader/>
        </w:trPr>
        <w:tc>
          <w:tcPr>
            <w:tcW w:w="2791" w:type="dxa"/>
          </w:tcPr>
          <w:p w14:paraId="7231B9CC" w14:textId="77777777" w:rsidR="00BB7FD9" w:rsidRPr="005F233F" w:rsidRDefault="00056F76" w:rsidP="00BF3711">
            <w:pPr>
              <w:jc w:val="center"/>
              <w:rPr>
                <w:b/>
                <w:szCs w:val="20"/>
              </w:rPr>
            </w:pPr>
            <w:r w:rsidRPr="005F233F">
              <w:rPr>
                <w:b/>
                <w:szCs w:val="20"/>
              </w:rPr>
              <w:t>Competencies</w:t>
            </w:r>
          </w:p>
        </w:tc>
        <w:tc>
          <w:tcPr>
            <w:cnfStyle w:val="000100000000" w:firstRow="0" w:lastRow="0" w:firstColumn="0" w:lastColumn="1" w:oddVBand="0" w:evenVBand="0" w:oddHBand="0" w:evenHBand="0" w:firstRowFirstColumn="0" w:firstRowLastColumn="0" w:lastRowFirstColumn="0" w:lastRowLastColumn="0"/>
            <w:tcW w:w="7288" w:type="dxa"/>
          </w:tcPr>
          <w:p w14:paraId="78B1C702" w14:textId="77777777" w:rsidR="00BB7FD9" w:rsidRPr="005F233F" w:rsidRDefault="00BB7FD9" w:rsidP="00AA758D">
            <w:pPr>
              <w:rPr>
                <w:b/>
                <w:i w:val="0"/>
                <w:iCs w:val="0"/>
                <w:szCs w:val="20"/>
              </w:rPr>
            </w:pPr>
            <w:r w:rsidRPr="005F233F">
              <w:rPr>
                <w:b/>
                <w:i w:val="0"/>
                <w:iCs w:val="0"/>
                <w:szCs w:val="20"/>
              </w:rPr>
              <w:t>Measurable Objectives</w:t>
            </w:r>
          </w:p>
        </w:tc>
      </w:tr>
      <w:tr w:rsidR="00BB7FD9" w:rsidRPr="005F233F" w14:paraId="1A89F03B" w14:textId="77777777" w:rsidTr="005F233F">
        <w:tc>
          <w:tcPr>
            <w:tcW w:w="2791" w:type="dxa"/>
          </w:tcPr>
          <w:p w14:paraId="65295311" w14:textId="77777777" w:rsidR="00BB7FD9" w:rsidRPr="005F233F" w:rsidRDefault="00E12FE2" w:rsidP="009715C6">
            <w:pPr>
              <w:rPr>
                <w:szCs w:val="20"/>
              </w:rPr>
            </w:pPr>
            <w:r w:rsidRPr="005F233F">
              <w:rPr>
                <w:bCs/>
                <w:szCs w:val="20"/>
              </w:rPr>
              <w:t xml:space="preserve">1. </w:t>
            </w:r>
            <w:r w:rsidR="00056F76" w:rsidRPr="005F233F">
              <w:rPr>
                <w:bCs/>
                <w:szCs w:val="20"/>
              </w:rPr>
              <w:t>Leadership and decision making</w:t>
            </w:r>
            <w:r w:rsidRPr="005F233F">
              <w:rPr>
                <w:bCs/>
                <w:szCs w:val="20"/>
              </w:rPr>
              <w:t xml:space="preserve">: </w:t>
            </w:r>
          </w:p>
        </w:tc>
        <w:tc>
          <w:tcPr>
            <w:cnfStyle w:val="000100000000" w:firstRow="0" w:lastRow="0" w:firstColumn="0" w:lastColumn="1" w:oddVBand="0" w:evenVBand="0" w:oddHBand="0" w:evenHBand="0" w:firstRowFirstColumn="0" w:firstRowLastColumn="0" w:lastRowFirstColumn="0" w:lastRowLastColumn="0"/>
            <w:tcW w:w="7288" w:type="dxa"/>
          </w:tcPr>
          <w:p w14:paraId="7D64A91C" w14:textId="77777777" w:rsidR="00BB7FD9" w:rsidRPr="005F233F" w:rsidRDefault="002641A2">
            <w:pPr>
              <w:rPr>
                <w:i w:val="0"/>
                <w:iCs w:val="0"/>
                <w:szCs w:val="20"/>
              </w:rPr>
            </w:pPr>
            <w:r w:rsidRPr="005F233F">
              <w:rPr>
                <w:i w:val="0"/>
                <w:iCs w:val="0"/>
                <w:szCs w:val="20"/>
              </w:rPr>
              <w:t>Objective 1.1</w:t>
            </w:r>
          </w:p>
          <w:p w14:paraId="19B893A1" w14:textId="77777777" w:rsidR="002641A2" w:rsidRPr="005F233F" w:rsidRDefault="00905592">
            <w:pPr>
              <w:rPr>
                <w:i w:val="0"/>
                <w:iCs w:val="0"/>
                <w:szCs w:val="20"/>
              </w:rPr>
            </w:pPr>
            <w:r w:rsidRPr="005F233F">
              <w:rPr>
                <w:i w:val="0"/>
                <w:iCs w:val="0"/>
                <w:szCs w:val="20"/>
              </w:rPr>
              <w:t>Demonstrate the ability to think critically by distinguishing relevant from non-relevant information.</w:t>
            </w:r>
          </w:p>
          <w:p w14:paraId="59045616" w14:textId="77777777" w:rsidR="002641A2" w:rsidRPr="005F233F" w:rsidRDefault="002641A2">
            <w:pPr>
              <w:rPr>
                <w:i w:val="0"/>
                <w:iCs w:val="0"/>
                <w:szCs w:val="20"/>
              </w:rPr>
            </w:pPr>
            <w:r w:rsidRPr="005F233F">
              <w:rPr>
                <w:i w:val="0"/>
                <w:iCs w:val="0"/>
                <w:szCs w:val="20"/>
              </w:rPr>
              <w:t>Objective 1.2</w:t>
            </w:r>
          </w:p>
          <w:p w14:paraId="16677897" w14:textId="77777777" w:rsidR="002641A2" w:rsidRPr="005F233F" w:rsidRDefault="0078502D">
            <w:pPr>
              <w:rPr>
                <w:i w:val="0"/>
                <w:iCs w:val="0"/>
                <w:szCs w:val="20"/>
              </w:rPr>
            </w:pPr>
            <w:r w:rsidRPr="005F233F">
              <w:rPr>
                <w:i w:val="0"/>
                <w:iCs w:val="0"/>
                <w:szCs w:val="20"/>
              </w:rPr>
              <w:t>Demonstrate dependability to others.</w:t>
            </w:r>
          </w:p>
        </w:tc>
      </w:tr>
      <w:tr w:rsidR="00BB7FD9" w:rsidRPr="005F233F" w14:paraId="24D5BAE7" w14:textId="77777777" w:rsidTr="005F233F">
        <w:tc>
          <w:tcPr>
            <w:tcW w:w="2791" w:type="dxa"/>
          </w:tcPr>
          <w:p w14:paraId="38D1C3D4" w14:textId="77777777" w:rsidR="00056F76" w:rsidRPr="005F233F" w:rsidRDefault="00056F76" w:rsidP="009715C6">
            <w:pPr>
              <w:rPr>
                <w:szCs w:val="20"/>
              </w:rPr>
            </w:pPr>
          </w:p>
          <w:p w14:paraId="62525EED" w14:textId="77777777" w:rsidR="00BB7FD9" w:rsidRPr="005F233F" w:rsidRDefault="00E12FE2" w:rsidP="009715C6">
            <w:pPr>
              <w:rPr>
                <w:szCs w:val="20"/>
              </w:rPr>
            </w:pPr>
            <w:r w:rsidRPr="005F233F">
              <w:rPr>
                <w:szCs w:val="20"/>
              </w:rPr>
              <w:t xml:space="preserve">2. </w:t>
            </w:r>
            <w:r w:rsidR="00056F76" w:rsidRPr="005F233F">
              <w:rPr>
                <w:szCs w:val="20"/>
              </w:rPr>
              <w:t>Communications</w:t>
            </w:r>
          </w:p>
          <w:p w14:paraId="0D108BCF" w14:textId="77777777" w:rsidR="00056F76" w:rsidRPr="005F233F" w:rsidRDefault="00056F76" w:rsidP="009715C6">
            <w:pPr>
              <w:rPr>
                <w:szCs w:val="20"/>
              </w:rPr>
            </w:pPr>
          </w:p>
          <w:p w14:paraId="4ED03248" w14:textId="77777777" w:rsidR="00056F76" w:rsidRPr="005F233F" w:rsidRDefault="00056F76" w:rsidP="009715C6">
            <w:pPr>
              <w:rPr>
                <w:szCs w:val="20"/>
              </w:rPr>
            </w:pPr>
          </w:p>
        </w:tc>
        <w:tc>
          <w:tcPr>
            <w:cnfStyle w:val="000100000000" w:firstRow="0" w:lastRow="0" w:firstColumn="0" w:lastColumn="1" w:oddVBand="0" w:evenVBand="0" w:oddHBand="0" w:evenHBand="0" w:firstRowFirstColumn="0" w:firstRowLastColumn="0" w:lastRowFirstColumn="0" w:lastRowLastColumn="0"/>
            <w:tcW w:w="7288" w:type="dxa"/>
          </w:tcPr>
          <w:p w14:paraId="2425C2D5" w14:textId="77777777" w:rsidR="006417E2" w:rsidRPr="005F233F" w:rsidRDefault="00E12FE2" w:rsidP="00E12FE2">
            <w:pPr>
              <w:rPr>
                <w:i w:val="0"/>
                <w:iCs w:val="0"/>
                <w:szCs w:val="20"/>
              </w:rPr>
            </w:pPr>
            <w:r w:rsidRPr="005F233F">
              <w:rPr>
                <w:i w:val="0"/>
                <w:iCs w:val="0"/>
                <w:szCs w:val="20"/>
              </w:rPr>
              <w:t>Objective 2.1</w:t>
            </w:r>
          </w:p>
          <w:p w14:paraId="57B03494" w14:textId="77777777" w:rsidR="00E12FE2" w:rsidRPr="005F233F" w:rsidRDefault="00E12FE2" w:rsidP="00E12FE2">
            <w:pPr>
              <w:rPr>
                <w:i w:val="0"/>
                <w:iCs w:val="0"/>
                <w:szCs w:val="20"/>
              </w:rPr>
            </w:pPr>
            <w:r w:rsidRPr="005F233F">
              <w:rPr>
                <w:i w:val="0"/>
                <w:iCs w:val="0"/>
                <w:szCs w:val="20"/>
              </w:rPr>
              <w:t xml:space="preserve"> </w:t>
            </w:r>
            <w:r w:rsidR="00C050D4" w:rsidRPr="005F233F">
              <w:rPr>
                <w:i w:val="0"/>
                <w:iCs w:val="0"/>
                <w:szCs w:val="20"/>
              </w:rPr>
              <w:t>Demonstrate well-developed oral communication and presentation skills</w:t>
            </w:r>
            <w:r w:rsidR="00C03AB2" w:rsidRPr="005F233F">
              <w:rPr>
                <w:i w:val="0"/>
                <w:iCs w:val="0"/>
                <w:szCs w:val="20"/>
              </w:rPr>
              <w:t>.</w:t>
            </w:r>
          </w:p>
          <w:p w14:paraId="1DDDEB62" w14:textId="77777777" w:rsidR="006417E2" w:rsidRPr="005F233F" w:rsidRDefault="00E12FE2" w:rsidP="00E12FE2">
            <w:pPr>
              <w:rPr>
                <w:i w:val="0"/>
                <w:iCs w:val="0"/>
                <w:szCs w:val="20"/>
              </w:rPr>
            </w:pPr>
            <w:r w:rsidRPr="005F233F">
              <w:rPr>
                <w:i w:val="0"/>
                <w:iCs w:val="0"/>
                <w:szCs w:val="20"/>
              </w:rPr>
              <w:t xml:space="preserve">Objective 2.2 </w:t>
            </w:r>
          </w:p>
          <w:p w14:paraId="659BCB5E" w14:textId="77777777" w:rsidR="00BB7FD9" w:rsidRPr="005F233F" w:rsidRDefault="00E12FE2" w:rsidP="00E12FE2">
            <w:pPr>
              <w:rPr>
                <w:i w:val="0"/>
                <w:iCs w:val="0"/>
                <w:szCs w:val="20"/>
              </w:rPr>
            </w:pPr>
            <w:r w:rsidRPr="005F233F">
              <w:rPr>
                <w:i w:val="0"/>
                <w:iCs w:val="0"/>
                <w:szCs w:val="20"/>
              </w:rPr>
              <w:t xml:space="preserve"> </w:t>
            </w:r>
            <w:r w:rsidR="00C050D4" w:rsidRPr="005F233F">
              <w:rPr>
                <w:i w:val="0"/>
                <w:iCs w:val="0"/>
                <w:szCs w:val="20"/>
              </w:rPr>
              <w:t>Display well-developed writing skills that produce clear, concise, and grammatically correct results</w:t>
            </w:r>
            <w:r w:rsidR="00C03AB2" w:rsidRPr="005F233F">
              <w:rPr>
                <w:i w:val="0"/>
                <w:iCs w:val="0"/>
                <w:szCs w:val="20"/>
              </w:rPr>
              <w:t>.</w:t>
            </w:r>
          </w:p>
        </w:tc>
      </w:tr>
      <w:tr w:rsidR="00BB7FD9" w:rsidRPr="005F233F" w14:paraId="5BEC43B2" w14:textId="77777777" w:rsidTr="005F233F">
        <w:tc>
          <w:tcPr>
            <w:tcW w:w="2791" w:type="dxa"/>
          </w:tcPr>
          <w:p w14:paraId="366FFD05" w14:textId="77777777" w:rsidR="00BB7FD9" w:rsidRPr="005F233F" w:rsidRDefault="00E12FE2" w:rsidP="009715C6">
            <w:pPr>
              <w:rPr>
                <w:szCs w:val="20"/>
              </w:rPr>
            </w:pPr>
            <w:r w:rsidRPr="005F233F">
              <w:t xml:space="preserve">3. </w:t>
            </w:r>
            <w:r w:rsidR="00056F76" w:rsidRPr="005F233F">
              <w:t>Awareness of the values and tradeoffs in public service, including sustainability, citizen engagement, democratic values, transparency</w:t>
            </w:r>
          </w:p>
        </w:tc>
        <w:tc>
          <w:tcPr>
            <w:cnfStyle w:val="000100000000" w:firstRow="0" w:lastRow="0" w:firstColumn="0" w:lastColumn="1" w:oddVBand="0" w:evenVBand="0" w:oddHBand="0" w:evenHBand="0" w:firstRowFirstColumn="0" w:firstRowLastColumn="0" w:lastRowFirstColumn="0" w:lastRowLastColumn="0"/>
            <w:tcW w:w="7288" w:type="dxa"/>
          </w:tcPr>
          <w:p w14:paraId="014A7F23" w14:textId="77777777" w:rsidR="006417E2" w:rsidRPr="005F233F" w:rsidRDefault="00E12FE2">
            <w:pPr>
              <w:rPr>
                <w:i w:val="0"/>
                <w:iCs w:val="0"/>
                <w:szCs w:val="20"/>
              </w:rPr>
            </w:pPr>
            <w:r w:rsidRPr="005F233F">
              <w:rPr>
                <w:i w:val="0"/>
                <w:iCs w:val="0"/>
                <w:szCs w:val="20"/>
              </w:rPr>
              <w:t xml:space="preserve">Objective 3.1 </w:t>
            </w:r>
          </w:p>
          <w:p w14:paraId="21FC1EC9" w14:textId="77777777" w:rsidR="00BB7FD9" w:rsidRPr="005F233F" w:rsidRDefault="00081ABF">
            <w:pPr>
              <w:rPr>
                <w:i w:val="0"/>
                <w:iCs w:val="0"/>
                <w:szCs w:val="20"/>
              </w:rPr>
            </w:pPr>
            <w:r w:rsidRPr="005F233F">
              <w:rPr>
                <w:i w:val="0"/>
                <w:iCs w:val="0"/>
                <w:szCs w:val="20"/>
              </w:rPr>
              <w:t>Demonstrate the ability to assess and balance priorities in strategic planning while focusing on goals and objectives of the organization.</w:t>
            </w:r>
          </w:p>
          <w:p w14:paraId="6035B9EB" w14:textId="77777777" w:rsidR="006417E2" w:rsidRPr="005F233F" w:rsidRDefault="00E12FE2">
            <w:pPr>
              <w:rPr>
                <w:i w:val="0"/>
                <w:iCs w:val="0"/>
                <w:szCs w:val="20"/>
              </w:rPr>
            </w:pPr>
            <w:r w:rsidRPr="005F233F">
              <w:rPr>
                <w:i w:val="0"/>
                <w:iCs w:val="0"/>
                <w:szCs w:val="20"/>
              </w:rPr>
              <w:t>Objective 3.</w:t>
            </w:r>
            <w:r w:rsidR="006417E2" w:rsidRPr="005F233F">
              <w:rPr>
                <w:i w:val="0"/>
                <w:iCs w:val="0"/>
                <w:szCs w:val="20"/>
              </w:rPr>
              <w:t>2</w:t>
            </w:r>
          </w:p>
          <w:p w14:paraId="082A5ADB" w14:textId="77777777" w:rsidR="006417E2" w:rsidRPr="005F233F" w:rsidRDefault="00081ABF">
            <w:pPr>
              <w:rPr>
                <w:i w:val="0"/>
                <w:iCs w:val="0"/>
                <w:szCs w:val="20"/>
              </w:rPr>
            </w:pPr>
            <w:r w:rsidRPr="005F233F">
              <w:rPr>
                <w:i w:val="0"/>
                <w:iCs w:val="0"/>
                <w:szCs w:val="20"/>
              </w:rPr>
              <w:t xml:space="preserve">Demonstrate the ability to understand an organization’s structure and be capable of formulating, designing and evaluating effective programs. </w:t>
            </w:r>
          </w:p>
        </w:tc>
      </w:tr>
      <w:tr w:rsidR="00BB7FD9" w:rsidRPr="005F233F" w14:paraId="61216428" w14:textId="77777777" w:rsidTr="005F233F">
        <w:tc>
          <w:tcPr>
            <w:tcW w:w="2791" w:type="dxa"/>
          </w:tcPr>
          <w:p w14:paraId="11EDF017" w14:textId="77777777" w:rsidR="00E12FE2" w:rsidRPr="005F233F" w:rsidRDefault="00E12FE2" w:rsidP="009715C6">
            <w:pPr>
              <w:rPr>
                <w:i/>
                <w:iCs/>
              </w:rPr>
            </w:pPr>
          </w:p>
          <w:p w14:paraId="70204F76" w14:textId="77777777" w:rsidR="00BB7FD9" w:rsidRPr="005F233F" w:rsidRDefault="00E12FE2" w:rsidP="009715C6">
            <w:pPr>
              <w:rPr>
                <w:i/>
                <w:iCs/>
                <w:szCs w:val="20"/>
              </w:rPr>
            </w:pPr>
            <w:r w:rsidRPr="005F233F">
              <w:t>4.</w:t>
            </w:r>
            <w:r w:rsidR="00056F76" w:rsidRPr="005F233F">
              <w:t>Role of financial, human, information, technology, and other resources</w:t>
            </w:r>
          </w:p>
        </w:tc>
        <w:tc>
          <w:tcPr>
            <w:cnfStyle w:val="000100000000" w:firstRow="0" w:lastRow="0" w:firstColumn="0" w:lastColumn="1" w:oddVBand="0" w:evenVBand="0" w:oddHBand="0" w:evenHBand="0" w:firstRowFirstColumn="0" w:firstRowLastColumn="0" w:lastRowFirstColumn="0" w:lastRowLastColumn="0"/>
            <w:tcW w:w="7288" w:type="dxa"/>
          </w:tcPr>
          <w:p w14:paraId="2295490C" w14:textId="77777777" w:rsidR="006417E2" w:rsidRPr="005F233F" w:rsidRDefault="002641A2">
            <w:pPr>
              <w:rPr>
                <w:i w:val="0"/>
                <w:iCs w:val="0"/>
                <w:szCs w:val="20"/>
              </w:rPr>
            </w:pPr>
            <w:r w:rsidRPr="005F233F">
              <w:rPr>
                <w:i w:val="0"/>
                <w:iCs w:val="0"/>
                <w:szCs w:val="20"/>
              </w:rPr>
              <w:t xml:space="preserve"> </w:t>
            </w:r>
            <w:r w:rsidR="00E12FE2" w:rsidRPr="005F233F">
              <w:rPr>
                <w:i w:val="0"/>
                <w:iCs w:val="0"/>
                <w:szCs w:val="20"/>
              </w:rPr>
              <w:t>Objective 4.1</w:t>
            </w:r>
          </w:p>
          <w:p w14:paraId="5420097B" w14:textId="77777777" w:rsidR="002641A2" w:rsidRPr="005F233F" w:rsidRDefault="00E12FE2">
            <w:pPr>
              <w:rPr>
                <w:i w:val="0"/>
                <w:iCs w:val="0"/>
                <w:szCs w:val="20"/>
              </w:rPr>
            </w:pPr>
            <w:r w:rsidRPr="005F233F">
              <w:rPr>
                <w:i w:val="0"/>
                <w:iCs w:val="0"/>
                <w:szCs w:val="20"/>
              </w:rPr>
              <w:t xml:space="preserve"> </w:t>
            </w:r>
            <w:r w:rsidR="00081ABF" w:rsidRPr="005F233F">
              <w:rPr>
                <w:i w:val="0"/>
                <w:iCs w:val="0"/>
                <w:szCs w:val="20"/>
              </w:rPr>
              <w:t>Demonstrate the ability to identify key players and stakeholders</w:t>
            </w:r>
            <w:r w:rsidRPr="005F233F">
              <w:rPr>
                <w:i w:val="0"/>
                <w:iCs w:val="0"/>
                <w:szCs w:val="20"/>
              </w:rPr>
              <w:t>.</w:t>
            </w:r>
          </w:p>
          <w:p w14:paraId="6C188F65" w14:textId="77777777" w:rsidR="006417E2" w:rsidRPr="005F233F" w:rsidRDefault="00E12FE2">
            <w:pPr>
              <w:rPr>
                <w:i w:val="0"/>
                <w:iCs w:val="0"/>
                <w:szCs w:val="20"/>
              </w:rPr>
            </w:pPr>
            <w:r w:rsidRPr="005F233F">
              <w:rPr>
                <w:i w:val="0"/>
                <w:iCs w:val="0"/>
                <w:szCs w:val="20"/>
              </w:rPr>
              <w:t>Objective 4.2</w:t>
            </w:r>
            <w:r w:rsidR="006417E2" w:rsidRPr="005F233F">
              <w:rPr>
                <w:i w:val="0"/>
                <w:iCs w:val="0"/>
                <w:szCs w:val="20"/>
              </w:rPr>
              <w:t xml:space="preserve"> </w:t>
            </w:r>
          </w:p>
          <w:p w14:paraId="4F71F06D" w14:textId="5D8C7B89" w:rsidR="006417E2" w:rsidRPr="005F233F" w:rsidRDefault="00081ABF" w:rsidP="00532140">
            <w:pPr>
              <w:rPr>
                <w:i w:val="0"/>
                <w:iCs w:val="0"/>
                <w:szCs w:val="20"/>
              </w:rPr>
            </w:pPr>
            <w:r w:rsidRPr="005F233F">
              <w:rPr>
                <w:i w:val="0"/>
                <w:iCs w:val="0"/>
                <w:szCs w:val="20"/>
              </w:rPr>
              <w:t>Demonstrate the ability to understand the relevant policy issues, political realities, resource constraints, and the environmental structure within which on</w:t>
            </w:r>
            <w:r w:rsidR="00704ADA" w:rsidRPr="005F233F">
              <w:rPr>
                <w:i w:val="0"/>
                <w:iCs w:val="0"/>
                <w:szCs w:val="20"/>
              </w:rPr>
              <w:t>e</w:t>
            </w:r>
            <w:r w:rsidRPr="005F233F">
              <w:rPr>
                <w:i w:val="0"/>
                <w:iCs w:val="0"/>
                <w:szCs w:val="20"/>
              </w:rPr>
              <w:t xml:space="preserve"> operates.</w:t>
            </w:r>
          </w:p>
        </w:tc>
      </w:tr>
      <w:tr w:rsidR="00532140" w:rsidRPr="005F233F" w14:paraId="468F1E9F" w14:textId="77777777" w:rsidTr="005F233F">
        <w:tc>
          <w:tcPr>
            <w:tcW w:w="2791" w:type="dxa"/>
          </w:tcPr>
          <w:p w14:paraId="03FDF92E" w14:textId="63D888DA" w:rsidR="00532140" w:rsidRPr="00532140" w:rsidRDefault="00532140" w:rsidP="009715C6">
            <w:pPr>
              <w:rPr>
                <w:i/>
                <w:iCs/>
              </w:rPr>
            </w:pPr>
            <w:r w:rsidRPr="00532140">
              <w:rPr>
                <w:i/>
              </w:rPr>
              <w:t>5.Knowledge of the policy process, including assessment</w:t>
            </w:r>
          </w:p>
        </w:tc>
        <w:tc>
          <w:tcPr>
            <w:cnfStyle w:val="000100000000" w:firstRow="0" w:lastRow="0" w:firstColumn="0" w:lastColumn="1" w:oddVBand="0" w:evenVBand="0" w:oddHBand="0" w:evenHBand="0" w:firstRowFirstColumn="0" w:firstRowLastColumn="0" w:lastRowFirstColumn="0" w:lastRowLastColumn="0"/>
            <w:tcW w:w="7288" w:type="dxa"/>
          </w:tcPr>
          <w:p w14:paraId="12267B8B" w14:textId="77777777" w:rsidR="00532140" w:rsidRPr="0061629C" w:rsidRDefault="00532140" w:rsidP="00532140">
            <w:pPr>
              <w:rPr>
                <w:i w:val="0"/>
                <w:iCs w:val="0"/>
                <w:szCs w:val="20"/>
              </w:rPr>
            </w:pPr>
            <w:r w:rsidRPr="0061629C">
              <w:rPr>
                <w:i w:val="0"/>
                <w:iCs w:val="0"/>
                <w:szCs w:val="20"/>
              </w:rPr>
              <w:t>Objective 5.1</w:t>
            </w:r>
          </w:p>
          <w:p w14:paraId="695E4AFA" w14:textId="77777777" w:rsidR="00532140" w:rsidRPr="0061629C" w:rsidRDefault="00532140" w:rsidP="00532140">
            <w:pPr>
              <w:rPr>
                <w:i w:val="0"/>
                <w:iCs w:val="0"/>
                <w:szCs w:val="20"/>
              </w:rPr>
            </w:pPr>
            <w:r w:rsidRPr="0061629C">
              <w:rPr>
                <w:i w:val="0"/>
                <w:iCs w:val="0"/>
                <w:szCs w:val="20"/>
              </w:rPr>
              <w:t>Demonstrate the ability to perform skillful research, measurement and analysis utilizing both qualitative and quantitative methods.</w:t>
            </w:r>
          </w:p>
          <w:p w14:paraId="616F3D99" w14:textId="77777777" w:rsidR="00532140" w:rsidRPr="0061629C" w:rsidRDefault="00532140" w:rsidP="00532140">
            <w:pPr>
              <w:rPr>
                <w:i w:val="0"/>
                <w:iCs w:val="0"/>
                <w:szCs w:val="20"/>
              </w:rPr>
            </w:pPr>
            <w:r w:rsidRPr="0061629C">
              <w:rPr>
                <w:i w:val="0"/>
                <w:iCs w:val="0"/>
                <w:szCs w:val="20"/>
              </w:rPr>
              <w:t>Objective 5.2</w:t>
            </w:r>
          </w:p>
          <w:p w14:paraId="414D1E45" w14:textId="039AFC30" w:rsidR="00532140" w:rsidRPr="005F233F" w:rsidRDefault="00532140" w:rsidP="00532140">
            <w:pPr>
              <w:rPr>
                <w:szCs w:val="20"/>
              </w:rPr>
            </w:pPr>
            <w:r w:rsidRPr="0061629C">
              <w:rPr>
                <w:i w:val="0"/>
                <w:iCs w:val="0"/>
                <w:szCs w:val="20"/>
              </w:rPr>
              <w:lastRenderedPageBreak/>
              <w:t xml:space="preserve"> Demonstrate the ability to perform analysis and implementation of professional/technical advice and analysis of others.</w:t>
            </w:r>
          </w:p>
        </w:tc>
      </w:tr>
      <w:tr w:rsidR="00532140" w:rsidRPr="005F233F" w14:paraId="7A98DB3F" w14:textId="77777777" w:rsidTr="005F233F">
        <w:tc>
          <w:tcPr>
            <w:tcW w:w="2791" w:type="dxa"/>
          </w:tcPr>
          <w:p w14:paraId="7E65F5C0" w14:textId="20B4E326" w:rsidR="00532140" w:rsidRPr="00532140" w:rsidRDefault="00532140" w:rsidP="009715C6">
            <w:pPr>
              <w:rPr>
                <w:i/>
              </w:rPr>
            </w:pPr>
            <w:r w:rsidRPr="0061629C">
              <w:lastRenderedPageBreak/>
              <w:t>6. Problem-solving, including the use of evidence.</w:t>
            </w:r>
          </w:p>
        </w:tc>
        <w:tc>
          <w:tcPr>
            <w:cnfStyle w:val="000100000000" w:firstRow="0" w:lastRow="0" w:firstColumn="0" w:lastColumn="1" w:oddVBand="0" w:evenVBand="0" w:oddHBand="0" w:evenHBand="0" w:firstRowFirstColumn="0" w:firstRowLastColumn="0" w:lastRowFirstColumn="0" w:lastRowLastColumn="0"/>
            <w:tcW w:w="7288" w:type="dxa"/>
          </w:tcPr>
          <w:p w14:paraId="0B39AE5C" w14:textId="77777777" w:rsidR="00532140" w:rsidRPr="0061629C" w:rsidRDefault="00532140" w:rsidP="00532140">
            <w:pPr>
              <w:rPr>
                <w:i w:val="0"/>
                <w:iCs w:val="0"/>
                <w:szCs w:val="20"/>
              </w:rPr>
            </w:pPr>
            <w:r w:rsidRPr="0061629C">
              <w:rPr>
                <w:i w:val="0"/>
                <w:iCs w:val="0"/>
                <w:szCs w:val="20"/>
              </w:rPr>
              <w:t xml:space="preserve">Objective 6.1 </w:t>
            </w:r>
          </w:p>
          <w:p w14:paraId="3EE2C435" w14:textId="77777777" w:rsidR="00532140" w:rsidRPr="0061629C" w:rsidRDefault="00532140" w:rsidP="00532140">
            <w:pPr>
              <w:rPr>
                <w:i w:val="0"/>
                <w:iCs w:val="0"/>
                <w:szCs w:val="20"/>
              </w:rPr>
            </w:pPr>
            <w:r w:rsidRPr="0061629C">
              <w:rPr>
                <w:i w:val="0"/>
                <w:iCs w:val="0"/>
                <w:szCs w:val="20"/>
              </w:rPr>
              <w:t>Development of technical, quantitative, and qualitative skills to aid in the assessment of policy alternatives.</w:t>
            </w:r>
          </w:p>
          <w:p w14:paraId="1C8DF55B" w14:textId="77777777" w:rsidR="00532140" w:rsidRPr="0061629C" w:rsidRDefault="00532140" w:rsidP="00532140">
            <w:pPr>
              <w:rPr>
                <w:i w:val="0"/>
                <w:iCs w:val="0"/>
                <w:szCs w:val="20"/>
              </w:rPr>
            </w:pPr>
            <w:r w:rsidRPr="0061629C">
              <w:rPr>
                <w:i w:val="0"/>
                <w:iCs w:val="0"/>
                <w:szCs w:val="20"/>
              </w:rPr>
              <w:t>Objective 6.2</w:t>
            </w:r>
          </w:p>
          <w:p w14:paraId="2891C0A9" w14:textId="0D0A5E35" w:rsidR="00532140" w:rsidRPr="0061629C" w:rsidRDefault="00532140" w:rsidP="00532140">
            <w:pPr>
              <w:rPr>
                <w:szCs w:val="20"/>
              </w:rPr>
            </w:pPr>
            <w:r w:rsidRPr="0061629C">
              <w:rPr>
                <w:i w:val="0"/>
                <w:iCs w:val="0"/>
                <w:szCs w:val="20"/>
              </w:rPr>
              <w:t>The ability to demonstrate knowledge of the complexity of organizations and the different elements that make up an organization.</w:t>
            </w:r>
          </w:p>
        </w:tc>
      </w:tr>
      <w:tr w:rsidR="00532140" w:rsidRPr="005F233F" w14:paraId="141304FB" w14:textId="77777777" w:rsidTr="005F233F">
        <w:trPr>
          <w:cnfStyle w:val="010000000000" w:firstRow="0" w:lastRow="1" w:firstColumn="0" w:lastColumn="0" w:oddVBand="0" w:evenVBand="0" w:oddHBand="0" w:evenHBand="0" w:firstRowFirstColumn="0" w:firstRowLastColumn="0" w:lastRowFirstColumn="0" w:lastRowLastColumn="0"/>
        </w:trPr>
        <w:tc>
          <w:tcPr>
            <w:tcW w:w="2791" w:type="dxa"/>
          </w:tcPr>
          <w:p w14:paraId="1CD4121C" w14:textId="640FBF20" w:rsidR="00532140" w:rsidRPr="00532140" w:rsidRDefault="00532140" w:rsidP="009715C6">
            <w:pPr>
              <w:rPr>
                <w:i w:val="0"/>
              </w:rPr>
            </w:pPr>
            <w:r w:rsidRPr="0061629C">
              <w:rPr>
                <w:i w:val="0"/>
                <w:iCs w:val="0"/>
              </w:rPr>
              <w:t>7.  Information processing and technology for effective administration (2007 new)</w:t>
            </w:r>
          </w:p>
        </w:tc>
        <w:tc>
          <w:tcPr>
            <w:cnfStyle w:val="000100000000" w:firstRow="0" w:lastRow="0" w:firstColumn="0" w:lastColumn="1" w:oddVBand="0" w:evenVBand="0" w:oddHBand="0" w:evenHBand="0" w:firstRowFirstColumn="0" w:firstRowLastColumn="0" w:lastRowFirstColumn="0" w:lastRowLastColumn="0"/>
            <w:tcW w:w="7288" w:type="dxa"/>
          </w:tcPr>
          <w:p w14:paraId="0EC76FA7" w14:textId="32ACC473" w:rsidR="00532140" w:rsidRPr="0061629C" w:rsidRDefault="00532140" w:rsidP="00532140">
            <w:pPr>
              <w:rPr>
                <w:szCs w:val="20"/>
              </w:rPr>
            </w:pPr>
            <w:r w:rsidRPr="0061629C">
              <w:rPr>
                <w:i w:val="0"/>
                <w:iCs w:val="0"/>
                <w:szCs w:val="20"/>
              </w:rPr>
              <w:t>New courses under development</w:t>
            </w:r>
          </w:p>
        </w:tc>
      </w:tr>
    </w:tbl>
    <w:p w14:paraId="64F75DD4" w14:textId="77777777" w:rsidR="00924D52" w:rsidRPr="00D87B18" w:rsidRDefault="00924D52">
      <w:pPr>
        <w:jc w:val="center"/>
      </w:pPr>
    </w:p>
    <w:p w14:paraId="00D77EA3" w14:textId="77777777" w:rsidR="00924D52" w:rsidRPr="00D87B18" w:rsidRDefault="00924D52" w:rsidP="00F24D3E">
      <w:pPr>
        <w:pStyle w:val="Heading1"/>
        <w:rPr>
          <w:rFonts w:ascii="Times New Roman" w:hAnsi="Times New Roman"/>
        </w:rPr>
      </w:pPr>
      <w:bookmarkStart w:id="29" w:name="_Toc150071844"/>
      <w:bookmarkStart w:id="30" w:name="_Toc150695211"/>
      <w:bookmarkStart w:id="31" w:name="_Toc201137026"/>
      <w:r w:rsidRPr="00D87B18">
        <w:rPr>
          <w:rFonts w:ascii="Times New Roman" w:hAnsi="Times New Roman"/>
        </w:rPr>
        <w:t>Assessment Tools</w:t>
      </w:r>
      <w:bookmarkEnd w:id="29"/>
      <w:bookmarkEnd w:id="30"/>
      <w:bookmarkEnd w:id="31"/>
    </w:p>
    <w:p w14:paraId="6621E6EA" w14:textId="77777777" w:rsidR="009E1CA2" w:rsidRPr="00D87B18" w:rsidRDefault="009E1CA2" w:rsidP="001B7FBE"/>
    <w:p w14:paraId="3DA48596" w14:textId="77777777" w:rsidR="00FF7676" w:rsidRPr="00D87B18" w:rsidRDefault="00502E7E" w:rsidP="001B7FBE">
      <w:r w:rsidRPr="00D87B18">
        <w:rPr>
          <w:b/>
        </w:rPr>
        <w:t>Concept of the assessment tool</w:t>
      </w:r>
      <w:r w:rsidR="00870DA4" w:rsidRPr="00D87B18">
        <w:rPr>
          <w:b/>
        </w:rPr>
        <w:t>:</w:t>
      </w:r>
      <w:r w:rsidRPr="00D87B18">
        <w:t xml:space="preserve"> For the purposes of this plan</w:t>
      </w:r>
      <w:r w:rsidR="00B631D5" w:rsidRPr="00D87B18">
        <w:t>,</w:t>
      </w:r>
      <w:r w:rsidRPr="00D87B18">
        <w:t xml:space="preserve"> an </w:t>
      </w:r>
      <w:r w:rsidR="00532D3E" w:rsidRPr="00D87B18">
        <w:t xml:space="preserve">assessment tool is a procedure, protocol, or exercise that is reasonably objective, repeatable over time, and </w:t>
      </w:r>
      <w:r w:rsidR="00FF7676" w:rsidRPr="00D87B18">
        <w:t>can be used to carry out the following two-step process for each learning objective:</w:t>
      </w:r>
    </w:p>
    <w:p w14:paraId="6BA5A3FB" w14:textId="77777777" w:rsidR="00FF7676" w:rsidRPr="00D87B18" w:rsidRDefault="00FF7676" w:rsidP="001B7FBE"/>
    <w:p w14:paraId="4C90C1E1" w14:textId="77777777" w:rsidR="00FF7676" w:rsidRPr="00D87B18" w:rsidRDefault="00B631D5" w:rsidP="00B631D5">
      <w:pPr>
        <w:tabs>
          <w:tab w:val="left" w:pos="935"/>
        </w:tabs>
      </w:pPr>
      <w:r w:rsidRPr="00D87B18">
        <w:t>S</w:t>
      </w:r>
      <w:r w:rsidR="00FF7676" w:rsidRPr="00D87B18">
        <w:t>tep 1:</w:t>
      </w:r>
      <w:r w:rsidRPr="00D87B18">
        <w:tab/>
      </w:r>
      <w:r w:rsidR="00FF7676" w:rsidRPr="00D87B18">
        <w:t>Determine whether each student did or did not meet the objective (a yes-no result)</w:t>
      </w:r>
      <w:r w:rsidRPr="00D87B18">
        <w:t>.</w:t>
      </w:r>
    </w:p>
    <w:p w14:paraId="686AAB94" w14:textId="77777777" w:rsidR="00FF7676" w:rsidRPr="00D87B18" w:rsidRDefault="00B631D5" w:rsidP="00B631D5">
      <w:pPr>
        <w:tabs>
          <w:tab w:val="left" w:pos="935"/>
        </w:tabs>
      </w:pPr>
      <w:r w:rsidRPr="00D87B18">
        <w:t>S</w:t>
      </w:r>
      <w:r w:rsidR="00FF7676" w:rsidRPr="00D87B18">
        <w:t>tep 2:</w:t>
      </w:r>
      <w:r w:rsidRPr="00D87B18">
        <w:tab/>
      </w:r>
      <w:r w:rsidR="00FF7676" w:rsidRPr="00D87B18">
        <w:t>Determine the percentage of sampled students who have met the objective</w:t>
      </w:r>
      <w:r w:rsidRPr="00D87B18">
        <w:t>.</w:t>
      </w:r>
    </w:p>
    <w:p w14:paraId="5F453A9C" w14:textId="77777777" w:rsidR="00FF7676" w:rsidRPr="00D87B18" w:rsidRDefault="00FF7676" w:rsidP="001B7FBE"/>
    <w:p w14:paraId="7DE65772" w14:textId="77777777" w:rsidR="00532D3E" w:rsidRPr="00D87B18" w:rsidRDefault="00532D3E" w:rsidP="001B7FBE"/>
    <w:p w14:paraId="08B5BC62" w14:textId="77777777" w:rsidR="00532D3E" w:rsidRPr="00D87B18" w:rsidRDefault="00532D3E" w:rsidP="001B7FBE">
      <w:r w:rsidRPr="00D87B18">
        <w:rPr>
          <w:b/>
        </w:rPr>
        <w:t>Example</w:t>
      </w:r>
      <w:r w:rsidR="00870DA4" w:rsidRPr="00D87B18">
        <w:rPr>
          <w:b/>
        </w:rPr>
        <w:t>:</w:t>
      </w:r>
      <w:r w:rsidRPr="00D87B18">
        <w:t xml:space="preserve">  Objective 2.1 states that students will “</w:t>
      </w:r>
      <w:r w:rsidR="00A03FFF" w:rsidRPr="00D87B18">
        <w:rPr>
          <w:szCs w:val="20"/>
        </w:rPr>
        <w:t>demonstrate well-developed oral communication and presentation skills.</w:t>
      </w:r>
      <w:r w:rsidRPr="00D87B18">
        <w:t>”  Any tools used to measure the achievement of this objective must be capable of returning a “yes” or “no” result for present</w:t>
      </w:r>
      <w:r w:rsidR="00AF386F" w:rsidRPr="00D87B18">
        <w:t>ation</w:t>
      </w:r>
      <w:r w:rsidR="00A03FFF" w:rsidRPr="00D87B18">
        <w:t>s</w:t>
      </w:r>
      <w:r w:rsidR="00AF386F" w:rsidRPr="00D87B18">
        <w:t xml:space="preserve"> delivered by each student. </w:t>
      </w:r>
      <w:r w:rsidRPr="00D87B18">
        <w:t>As a second step</w:t>
      </w:r>
      <w:r w:rsidR="00FF64F1" w:rsidRPr="00D87B18">
        <w:t>,</w:t>
      </w:r>
      <w:r w:rsidR="00FF7676" w:rsidRPr="00D87B18">
        <w:t xml:space="preserve"> the percentage of assessed students who did achieve the objective is computed.</w:t>
      </w:r>
      <w:r w:rsidR="00502E7E" w:rsidRPr="00D87B18">
        <w:t xml:space="preserve">  The result of using this tool might be that 80% of sampled students achieved this objective.</w:t>
      </w:r>
    </w:p>
    <w:p w14:paraId="3F08BAC4" w14:textId="77777777" w:rsidR="00502E7E" w:rsidRPr="00D87B18" w:rsidRDefault="00502E7E" w:rsidP="001B7FBE"/>
    <w:p w14:paraId="4CF1CFC3" w14:textId="77777777" w:rsidR="00502E7E" w:rsidRPr="00D87B18" w:rsidRDefault="00F808BF" w:rsidP="001B7FBE">
      <w:r w:rsidRPr="00D87B18">
        <w:rPr>
          <w:b/>
        </w:rPr>
        <w:t>Challenges</w:t>
      </w:r>
      <w:r w:rsidR="00502E7E" w:rsidRPr="00D87B18">
        <w:rPr>
          <w:b/>
        </w:rPr>
        <w:t xml:space="preserve"> in </w:t>
      </w:r>
      <w:r w:rsidR="004A3C16" w:rsidRPr="00D87B18">
        <w:rPr>
          <w:b/>
        </w:rPr>
        <w:t xml:space="preserve">designing and </w:t>
      </w:r>
      <w:r w:rsidR="00502E7E" w:rsidRPr="00D87B18">
        <w:rPr>
          <w:b/>
        </w:rPr>
        <w:t xml:space="preserve">using </w:t>
      </w:r>
      <w:r w:rsidR="00FF64F1" w:rsidRPr="00D87B18">
        <w:rPr>
          <w:b/>
        </w:rPr>
        <w:t>assessment</w:t>
      </w:r>
      <w:r w:rsidR="007E2FA4" w:rsidRPr="00D87B18">
        <w:rPr>
          <w:b/>
        </w:rPr>
        <w:t xml:space="preserve"> tools:</w:t>
      </w:r>
      <w:r w:rsidR="00502E7E" w:rsidRPr="00D87B18">
        <w:rPr>
          <w:b/>
        </w:rPr>
        <w:t xml:space="preserve">  </w:t>
      </w:r>
      <w:r w:rsidR="00502E7E" w:rsidRPr="00D87B18">
        <w:t>At least t</w:t>
      </w:r>
      <w:r w:rsidR="004A3C16" w:rsidRPr="00D87B18">
        <w:t>hree</w:t>
      </w:r>
      <w:r w:rsidR="00502E7E" w:rsidRPr="00D87B18">
        <w:t xml:space="preserve"> </w:t>
      </w:r>
      <w:r w:rsidRPr="00D87B18">
        <w:t>key</w:t>
      </w:r>
      <w:r w:rsidR="00502E7E" w:rsidRPr="00D87B18">
        <w:t xml:space="preserve"> </w:t>
      </w:r>
      <w:r w:rsidRPr="00D87B18">
        <w:t>challenges</w:t>
      </w:r>
      <w:r w:rsidR="00502E7E" w:rsidRPr="00D87B18">
        <w:t xml:space="preserve"> must be addressed when crafting and using each tool. </w:t>
      </w:r>
    </w:p>
    <w:p w14:paraId="73BC4E84" w14:textId="77777777" w:rsidR="00502E7E" w:rsidRPr="00D87B18" w:rsidRDefault="00502E7E" w:rsidP="001B7FBE"/>
    <w:p w14:paraId="1A1D26A0" w14:textId="77777777" w:rsidR="004A3C16" w:rsidRPr="00D87B18" w:rsidRDefault="00F808BF" w:rsidP="001B7FBE">
      <w:r w:rsidRPr="00D87B18">
        <w:t>Challenge</w:t>
      </w:r>
      <w:r w:rsidR="004A3C16" w:rsidRPr="00D87B18">
        <w:t xml:space="preserve"> 1:</w:t>
      </w:r>
      <w:r w:rsidR="00FF64F1" w:rsidRPr="00D87B18">
        <w:t xml:space="preserve">  </w:t>
      </w:r>
      <w:r w:rsidR="004A3C16" w:rsidRPr="00D87B18">
        <w:t>Rep</w:t>
      </w:r>
      <w:r w:rsidR="00FF64F1" w:rsidRPr="00D87B18">
        <w:t>eatability</w:t>
      </w:r>
      <w:r w:rsidR="004A3C16" w:rsidRPr="00D87B18">
        <w:t xml:space="preserve">.  The tool must be </w:t>
      </w:r>
      <w:r w:rsidR="00FF64F1" w:rsidRPr="00D87B18">
        <w:t>utilized</w:t>
      </w:r>
      <w:r w:rsidR="004A3C16" w:rsidRPr="00D87B18">
        <w:t xml:space="preserve"> over time and across different sections of the same course or across two or more courses.  </w:t>
      </w:r>
    </w:p>
    <w:p w14:paraId="6B5F8796" w14:textId="77777777" w:rsidR="004A3C16" w:rsidRPr="00D87B18" w:rsidRDefault="004A3C16" w:rsidP="001B7FBE"/>
    <w:p w14:paraId="4AE17FED" w14:textId="77777777" w:rsidR="00AF386F" w:rsidRPr="00D87B18" w:rsidRDefault="00F808BF" w:rsidP="001B7FBE">
      <w:r w:rsidRPr="00D87B18">
        <w:t>Challenge</w:t>
      </w:r>
      <w:r w:rsidR="004A3C16" w:rsidRPr="00D87B18">
        <w:t xml:space="preserve"> 2:</w:t>
      </w:r>
      <w:r w:rsidR="00FF64F1" w:rsidRPr="00D87B18">
        <w:t xml:space="preserve">  Sampling</w:t>
      </w:r>
      <w:r w:rsidR="00502E7E" w:rsidRPr="00D87B18">
        <w:t xml:space="preserve">. </w:t>
      </w:r>
      <w:r w:rsidR="00FF64F1" w:rsidRPr="00D87B18">
        <w:t xml:space="preserve"> </w:t>
      </w:r>
      <w:r w:rsidR="00502E7E" w:rsidRPr="00D87B18">
        <w:t xml:space="preserve">What is the sample of students? Is it representative of the population?  How are students in the program identified (if at all) from other students taking a </w:t>
      </w:r>
      <w:r w:rsidR="00FF64F1" w:rsidRPr="00D87B18">
        <w:t>course?</w:t>
      </w:r>
      <w:r w:rsidR="00502E7E" w:rsidRPr="00D87B18">
        <w:t xml:space="preserve">  </w:t>
      </w:r>
    </w:p>
    <w:p w14:paraId="47F57972" w14:textId="77777777" w:rsidR="00AF386F" w:rsidRPr="00D87B18" w:rsidRDefault="00AF386F" w:rsidP="001B7FBE"/>
    <w:p w14:paraId="2F40D5CB" w14:textId="77777777" w:rsidR="00502E7E" w:rsidRPr="00D87B18" w:rsidRDefault="00F808BF" w:rsidP="001B7FBE">
      <w:r w:rsidRPr="00D87B18">
        <w:t xml:space="preserve">Challenge </w:t>
      </w:r>
      <w:r w:rsidR="00FF64F1" w:rsidRPr="00D87B18">
        <w:t xml:space="preserve">3:  </w:t>
      </w:r>
      <w:r w:rsidR="004A3C16" w:rsidRPr="00D87B18">
        <w:t>C</w:t>
      </w:r>
      <w:r w:rsidR="00502E7E" w:rsidRPr="00D87B18">
        <w:t xml:space="preserve">riteria for determining a yes vs. no achievement.  If the assessment tool </w:t>
      </w:r>
      <w:r w:rsidR="004A3C16" w:rsidRPr="00D87B18">
        <w:t>produces</w:t>
      </w:r>
      <w:r w:rsidR="00502E7E" w:rsidRPr="00D87B18">
        <w:t xml:space="preserve"> a continuous score, this issue </w:t>
      </w:r>
      <w:r w:rsidR="003F2D85" w:rsidRPr="00D87B18">
        <w:t xml:space="preserve">concerns the appropriate determination of the </w:t>
      </w:r>
      <w:r w:rsidR="00502E7E" w:rsidRPr="00D87B18">
        <w:t>cut-off point</w:t>
      </w:r>
      <w:r w:rsidR="003F2D85" w:rsidRPr="00D87B18">
        <w:t xml:space="preserve"> or score</w:t>
      </w:r>
      <w:r w:rsidR="00502E7E" w:rsidRPr="00D87B18">
        <w:t>.</w:t>
      </w:r>
      <w:r w:rsidR="003F2D85" w:rsidRPr="00D87B18">
        <w:t xml:space="preserve">  </w:t>
      </w:r>
      <w:r w:rsidR="00502E7E" w:rsidRPr="00D87B18">
        <w:t xml:space="preserve"> Some tools may include a co</w:t>
      </w:r>
      <w:r w:rsidR="003F2D85" w:rsidRPr="00D87B18">
        <w:t>m</w:t>
      </w:r>
      <w:r w:rsidR="00502E7E" w:rsidRPr="00D87B18">
        <w:t>bination of qualitative ratings.  Faculty must decide how these</w:t>
      </w:r>
      <w:r w:rsidR="003F2D85" w:rsidRPr="00D87B18">
        <w:t xml:space="preserve"> ratings</w:t>
      </w:r>
      <w:r w:rsidR="00502E7E" w:rsidRPr="00D87B18">
        <w:t xml:space="preserve"> </w:t>
      </w:r>
      <w:r w:rsidR="004A3C16" w:rsidRPr="00D87B18">
        <w:t>map into the yes-no result</w:t>
      </w:r>
      <w:r w:rsidR="00502E7E" w:rsidRPr="00D87B18">
        <w:t xml:space="preserve"> and document the method so that it can be repeated over time and by different people.</w:t>
      </w:r>
    </w:p>
    <w:p w14:paraId="65569C3E" w14:textId="77777777" w:rsidR="00502E7E" w:rsidRPr="00D87B18" w:rsidRDefault="00502E7E" w:rsidP="001B7FBE"/>
    <w:p w14:paraId="46B4EC03" w14:textId="77777777" w:rsidR="00532D3E" w:rsidRPr="00D87B18" w:rsidRDefault="00EA363E" w:rsidP="001B7FBE">
      <w:r w:rsidRPr="00D87B18">
        <w:lastRenderedPageBreak/>
        <w:t>A</w:t>
      </w:r>
      <w:r w:rsidR="008A45C1" w:rsidRPr="00D87B18">
        <w:t xml:space="preserve">nother </w:t>
      </w:r>
      <w:r w:rsidR="00541B23" w:rsidRPr="00D87B18">
        <w:t>issue</w:t>
      </w:r>
      <w:r w:rsidR="008A45C1" w:rsidRPr="00D87B18">
        <w:t>, yet less critical than the three identified above, is the decision of</w:t>
      </w:r>
      <w:r w:rsidRPr="00D87B18">
        <w:t xml:space="preserve"> what percentage of successful students is “acceptable”</w:t>
      </w:r>
      <w:r w:rsidR="008A45C1" w:rsidRPr="00D87B18">
        <w:t xml:space="preserve"> to the faculty.</w:t>
      </w:r>
      <w:r w:rsidRPr="00D87B18">
        <w:t xml:space="preserve">  This determination need not be made in advance nor must it be a fixed target.  Trends over time may be more important and different stakeholders may wish to judge different percentages as adequate or not.  </w:t>
      </w:r>
      <w:r w:rsidR="008A45C1" w:rsidRPr="00D87B18">
        <w:t>T</w:t>
      </w:r>
      <w:r w:rsidRPr="00D87B18">
        <w:t>he goal of continuous improvement dictates that whatever the percentage of students achieving the learning objective</w:t>
      </w:r>
      <w:r w:rsidR="008A45C1" w:rsidRPr="00D87B18">
        <w:t xml:space="preserve"> is</w:t>
      </w:r>
      <w:r w:rsidRPr="00D87B18">
        <w:t>, we should strive to increase that percentage over time.</w:t>
      </w:r>
    </w:p>
    <w:p w14:paraId="25CF01BD" w14:textId="77777777" w:rsidR="00EA363E" w:rsidRPr="00D87B18" w:rsidRDefault="00EA363E" w:rsidP="001B7FBE"/>
    <w:p w14:paraId="1182708D" w14:textId="77777777" w:rsidR="00612331" w:rsidRPr="00D87B18" w:rsidRDefault="004A3C16" w:rsidP="00F603AD">
      <w:r w:rsidRPr="00D87B18">
        <w:t xml:space="preserve">Table </w:t>
      </w:r>
      <w:r w:rsidR="004E3B14" w:rsidRPr="00D87B18">
        <w:t>2</w:t>
      </w:r>
      <w:r w:rsidRPr="00D87B18">
        <w:t xml:space="preserve"> summarizes the </w:t>
      </w:r>
      <w:r w:rsidR="00C41D48" w:rsidRPr="00D87B18">
        <w:t xml:space="preserve">primary </w:t>
      </w:r>
      <w:r w:rsidRPr="00D87B18">
        <w:t>tools to be used</w:t>
      </w:r>
      <w:r w:rsidR="00C41D48" w:rsidRPr="00D87B18">
        <w:t xml:space="preserve"> in evaluating the </w:t>
      </w:r>
      <w:r w:rsidR="00C03AB2" w:rsidRPr="00D87B18">
        <w:t>MP</w:t>
      </w:r>
      <w:r w:rsidR="0049103B" w:rsidRPr="00D87B18">
        <w:t>A program’s</w:t>
      </w:r>
      <w:r w:rsidR="00AF386F" w:rsidRPr="00D87B18">
        <w:t xml:space="preserve"> competencies</w:t>
      </w:r>
      <w:r w:rsidR="00C41D48" w:rsidRPr="00D87B18">
        <w:t xml:space="preserve">.  Assessment of these goals and their objectives will be completed primarily in the </w:t>
      </w:r>
      <w:r w:rsidR="00AF386F" w:rsidRPr="00D87B18">
        <w:t>MPA</w:t>
      </w:r>
      <w:r w:rsidR="00C41D48" w:rsidRPr="00D87B18">
        <w:t xml:space="preserve"> curriculum’s core courses.  These core courses are completed by </w:t>
      </w:r>
      <w:r w:rsidR="00AF386F" w:rsidRPr="00D87B18">
        <w:t>all MPA</w:t>
      </w:r>
      <w:r w:rsidR="00612331" w:rsidRPr="00D87B18">
        <w:t xml:space="preserve"> degree seeking students.</w:t>
      </w:r>
      <w:r w:rsidR="00C618BE" w:rsidRPr="00D87B18">
        <w:t xml:space="preserve"> </w:t>
      </w:r>
    </w:p>
    <w:p w14:paraId="5424903D" w14:textId="77777777" w:rsidR="004A3C16" w:rsidRPr="00D87B18" w:rsidRDefault="004A3C16" w:rsidP="004A3C16"/>
    <w:p w14:paraId="19BE44C9" w14:textId="77777777" w:rsidR="00EA363E" w:rsidRPr="00D87B18" w:rsidRDefault="00EA363E" w:rsidP="001B7FBE"/>
    <w:p w14:paraId="33619794" w14:textId="77777777" w:rsidR="009E1CA2" w:rsidRPr="00D87B18" w:rsidRDefault="009E1CA2" w:rsidP="004A3C16">
      <w:pPr>
        <w:keepNext/>
        <w:ind w:left="1620"/>
      </w:pPr>
    </w:p>
    <w:p w14:paraId="4200EA53" w14:textId="77777777" w:rsidR="000E0768" w:rsidRPr="00D87B18" w:rsidRDefault="000E0768" w:rsidP="00D4146F">
      <w:pPr>
        <w:pStyle w:val="Caption"/>
        <w:keepNext/>
        <w:jc w:val="center"/>
        <w:rPr>
          <w:sz w:val="22"/>
          <w:szCs w:val="22"/>
        </w:rPr>
      </w:pPr>
      <w:r w:rsidRPr="00D87B18">
        <w:rPr>
          <w:sz w:val="22"/>
          <w:szCs w:val="22"/>
        </w:rPr>
        <w:t xml:space="preserve">Table </w:t>
      </w:r>
      <w:r w:rsidR="004E3B14" w:rsidRPr="00D87B18">
        <w:rPr>
          <w:sz w:val="22"/>
          <w:szCs w:val="22"/>
        </w:rPr>
        <w:t>2</w:t>
      </w:r>
      <w:r w:rsidRPr="00D87B18">
        <w:rPr>
          <w:sz w:val="22"/>
          <w:szCs w:val="22"/>
        </w:rPr>
        <w:t xml:space="preserve"> - Assessment Tools and Administration</w:t>
      </w:r>
    </w:p>
    <w:tbl>
      <w:tblPr>
        <w:tblStyle w:val="TableGrid1"/>
        <w:tblW w:w="9360" w:type="dxa"/>
        <w:tblLayout w:type="fixed"/>
        <w:tblLook w:val="01E0" w:firstRow="1" w:lastRow="1" w:firstColumn="1" w:lastColumn="1" w:noHBand="0" w:noVBand="0"/>
        <w:tblCaption w:val="Assessment Tools and Administration"/>
        <w:tblDescription w:val="Description of each assessment tool, including frequency/start data, collection method, and party responsible for assessment"/>
      </w:tblPr>
      <w:tblGrid>
        <w:gridCol w:w="1548"/>
        <w:gridCol w:w="3048"/>
        <w:gridCol w:w="1496"/>
        <w:gridCol w:w="1496"/>
        <w:gridCol w:w="1772"/>
      </w:tblGrid>
      <w:tr w:rsidR="009E1CA2" w:rsidRPr="007477BB" w14:paraId="5DBF2C33" w14:textId="77777777" w:rsidTr="00532140">
        <w:trPr>
          <w:tblHeader/>
        </w:trPr>
        <w:tc>
          <w:tcPr>
            <w:tcW w:w="1548" w:type="dxa"/>
            <w:tcBorders>
              <w:bottom w:val="single" w:sz="6" w:space="0" w:color="000000"/>
            </w:tcBorders>
            <w:shd w:val="clear" w:color="auto" w:fill="D9D9D9" w:themeFill="background1" w:themeFillShade="D9"/>
          </w:tcPr>
          <w:p w14:paraId="382A38A9" w14:textId="77777777" w:rsidR="009E1CA2" w:rsidRPr="007477BB" w:rsidRDefault="009E1CA2" w:rsidP="009E1CA2">
            <w:pPr>
              <w:keepNext/>
              <w:jc w:val="center"/>
              <w:rPr>
                <w:b/>
                <w:sz w:val="20"/>
                <w:szCs w:val="20"/>
              </w:rPr>
            </w:pPr>
            <w:r w:rsidRPr="007477BB">
              <w:rPr>
                <w:b/>
                <w:sz w:val="20"/>
                <w:szCs w:val="20"/>
              </w:rPr>
              <w:t>Tool</w:t>
            </w:r>
          </w:p>
        </w:tc>
        <w:tc>
          <w:tcPr>
            <w:tcW w:w="3048" w:type="dxa"/>
            <w:shd w:val="clear" w:color="auto" w:fill="D9D9D9" w:themeFill="background1" w:themeFillShade="D9"/>
          </w:tcPr>
          <w:p w14:paraId="46CC8250" w14:textId="77777777" w:rsidR="009E1CA2" w:rsidRPr="007477BB" w:rsidRDefault="009E1CA2" w:rsidP="009E1CA2">
            <w:pPr>
              <w:keepNext/>
              <w:jc w:val="center"/>
              <w:rPr>
                <w:b/>
                <w:sz w:val="20"/>
                <w:szCs w:val="20"/>
              </w:rPr>
            </w:pPr>
            <w:r w:rsidRPr="007477BB">
              <w:rPr>
                <w:b/>
                <w:sz w:val="20"/>
                <w:szCs w:val="20"/>
              </w:rPr>
              <w:t>Description</w:t>
            </w:r>
          </w:p>
          <w:p w14:paraId="2EB00584" w14:textId="77777777" w:rsidR="009146AD" w:rsidRPr="007477BB" w:rsidRDefault="009146AD" w:rsidP="009E1CA2">
            <w:pPr>
              <w:keepNext/>
              <w:jc w:val="center"/>
              <w:rPr>
                <w:b/>
                <w:sz w:val="20"/>
                <w:szCs w:val="20"/>
              </w:rPr>
            </w:pPr>
            <w:r w:rsidRPr="007477BB">
              <w:rPr>
                <w:b/>
                <w:sz w:val="20"/>
                <w:szCs w:val="20"/>
              </w:rPr>
              <w:t>(Students will…)</w:t>
            </w:r>
          </w:p>
        </w:tc>
        <w:tc>
          <w:tcPr>
            <w:tcW w:w="1496" w:type="dxa"/>
            <w:shd w:val="clear" w:color="auto" w:fill="D9D9D9" w:themeFill="background1" w:themeFillShade="D9"/>
          </w:tcPr>
          <w:p w14:paraId="31D05340" w14:textId="77777777" w:rsidR="009E1CA2" w:rsidRPr="007477BB" w:rsidRDefault="009E1CA2" w:rsidP="009E1CA2">
            <w:pPr>
              <w:keepNext/>
              <w:jc w:val="center"/>
              <w:rPr>
                <w:b/>
                <w:sz w:val="20"/>
                <w:szCs w:val="20"/>
              </w:rPr>
            </w:pPr>
            <w:r w:rsidRPr="007477BB">
              <w:rPr>
                <w:b/>
                <w:sz w:val="20"/>
                <w:szCs w:val="20"/>
              </w:rPr>
              <w:t>Frequency/ Start Date</w:t>
            </w:r>
          </w:p>
        </w:tc>
        <w:tc>
          <w:tcPr>
            <w:tcW w:w="1496" w:type="dxa"/>
            <w:shd w:val="clear" w:color="auto" w:fill="D9D9D9" w:themeFill="background1" w:themeFillShade="D9"/>
          </w:tcPr>
          <w:p w14:paraId="20167DDE" w14:textId="77777777" w:rsidR="009E1CA2" w:rsidRPr="007477BB" w:rsidRDefault="009E1CA2" w:rsidP="009E1CA2">
            <w:pPr>
              <w:keepNext/>
              <w:jc w:val="center"/>
              <w:rPr>
                <w:b/>
                <w:sz w:val="20"/>
                <w:szCs w:val="20"/>
              </w:rPr>
            </w:pPr>
            <w:r w:rsidRPr="007477BB">
              <w:rPr>
                <w:b/>
                <w:sz w:val="20"/>
                <w:szCs w:val="20"/>
              </w:rPr>
              <w:t>Data Collection Method</w:t>
            </w:r>
          </w:p>
        </w:tc>
        <w:tc>
          <w:tcPr>
            <w:cnfStyle w:val="000100000000" w:firstRow="0" w:lastRow="0" w:firstColumn="0" w:lastColumn="1" w:oddVBand="0" w:evenVBand="0" w:oddHBand="0" w:evenHBand="0" w:firstRowFirstColumn="0" w:firstRowLastColumn="0" w:lastRowFirstColumn="0" w:lastRowLastColumn="0"/>
            <w:tcW w:w="1772" w:type="dxa"/>
            <w:shd w:val="clear" w:color="auto" w:fill="D9D9D9" w:themeFill="background1" w:themeFillShade="D9"/>
          </w:tcPr>
          <w:p w14:paraId="19E7694B" w14:textId="77777777" w:rsidR="009E1CA2" w:rsidRPr="007477BB" w:rsidRDefault="009E1CA2" w:rsidP="009E1CA2">
            <w:pPr>
              <w:keepNext/>
              <w:jc w:val="center"/>
              <w:rPr>
                <w:b/>
                <w:i w:val="0"/>
                <w:iCs w:val="0"/>
                <w:sz w:val="20"/>
                <w:szCs w:val="20"/>
              </w:rPr>
            </w:pPr>
            <w:r w:rsidRPr="007477BB">
              <w:rPr>
                <w:b/>
                <w:i w:val="0"/>
                <w:iCs w:val="0"/>
                <w:sz w:val="20"/>
                <w:szCs w:val="20"/>
              </w:rPr>
              <w:t>Administered by</w:t>
            </w:r>
          </w:p>
        </w:tc>
      </w:tr>
      <w:tr w:rsidR="009E1CA2" w:rsidRPr="007477BB" w14:paraId="0690A5A7" w14:textId="77777777" w:rsidTr="007477BB">
        <w:trPr>
          <w:trHeight w:val="244"/>
        </w:trPr>
        <w:tc>
          <w:tcPr>
            <w:tcW w:w="1548" w:type="dxa"/>
            <w:shd w:val="clear" w:color="auto" w:fill="D9D9D9" w:themeFill="background1" w:themeFillShade="D9"/>
          </w:tcPr>
          <w:p w14:paraId="0A0F8516" w14:textId="77777777" w:rsidR="009E1CA2" w:rsidRPr="007477BB" w:rsidRDefault="0049103B" w:rsidP="009E1CA2">
            <w:pPr>
              <w:keepNext/>
              <w:jc w:val="center"/>
              <w:rPr>
                <w:sz w:val="20"/>
                <w:szCs w:val="20"/>
              </w:rPr>
            </w:pPr>
            <w:r w:rsidRPr="007477BB">
              <w:rPr>
                <w:sz w:val="20"/>
                <w:szCs w:val="20"/>
              </w:rPr>
              <w:t>Cap</w:t>
            </w:r>
            <w:r w:rsidR="00E06207" w:rsidRPr="007477BB">
              <w:rPr>
                <w:sz w:val="20"/>
                <w:szCs w:val="20"/>
              </w:rPr>
              <w:t>s</w:t>
            </w:r>
            <w:r w:rsidRPr="007477BB">
              <w:rPr>
                <w:sz w:val="20"/>
                <w:szCs w:val="20"/>
              </w:rPr>
              <w:t>tone</w:t>
            </w:r>
            <w:r w:rsidR="00632A4E" w:rsidRPr="007477BB">
              <w:rPr>
                <w:sz w:val="20"/>
                <w:szCs w:val="20"/>
              </w:rPr>
              <w:t xml:space="preserve"> P</w:t>
            </w:r>
            <w:r w:rsidR="00DB17EB" w:rsidRPr="007477BB">
              <w:rPr>
                <w:sz w:val="20"/>
                <w:szCs w:val="20"/>
              </w:rPr>
              <w:t>resentations</w:t>
            </w:r>
          </w:p>
        </w:tc>
        <w:tc>
          <w:tcPr>
            <w:tcW w:w="3048" w:type="dxa"/>
          </w:tcPr>
          <w:p w14:paraId="10714754" w14:textId="77777777" w:rsidR="009E1CA2" w:rsidRPr="007477BB" w:rsidRDefault="00632A4E" w:rsidP="009E1CA2">
            <w:pPr>
              <w:keepNext/>
              <w:jc w:val="center"/>
              <w:rPr>
                <w:sz w:val="20"/>
                <w:szCs w:val="20"/>
              </w:rPr>
            </w:pPr>
            <w:r w:rsidRPr="007477BB">
              <w:rPr>
                <w:sz w:val="20"/>
                <w:szCs w:val="20"/>
              </w:rPr>
              <w:t>Prepar</w:t>
            </w:r>
            <w:r w:rsidR="009146AD" w:rsidRPr="007477BB">
              <w:rPr>
                <w:sz w:val="20"/>
                <w:szCs w:val="20"/>
              </w:rPr>
              <w:t xml:space="preserve">e and deliver a </w:t>
            </w:r>
            <w:r w:rsidR="00A37E83" w:rsidRPr="007477BB">
              <w:rPr>
                <w:sz w:val="20"/>
                <w:szCs w:val="20"/>
              </w:rPr>
              <w:t xml:space="preserve">graduate </w:t>
            </w:r>
            <w:r w:rsidR="009146AD" w:rsidRPr="007477BB">
              <w:rPr>
                <w:sz w:val="20"/>
                <w:szCs w:val="20"/>
              </w:rPr>
              <w:t xml:space="preserve">level </w:t>
            </w:r>
            <w:r w:rsidR="00DB17EB" w:rsidRPr="007477BB">
              <w:rPr>
                <w:sz w:val="20"/>
                <w:szCs w:val="20"/>
              </w:rPr>
              <w:t>present</w:t>
            </w:r>
            <w:r w:rsidRPr="007477BB">
              <w:rPr>
                <w:sz w:val="20"/>
                <w:szCs w:val="20"/>
              </w:rPr>
              <w:t>ation</w:t>
            </w:r>
            <w:r w:rsidR="004B751B" w:rsidRPr="007477BB">
              <w:rPr>
                <w:sz w:val="20"/>
                <w:szCs w:val="20"/>
              </w:rPr>
              <w:t xml:space="preserve"> and paper</w:t>
            </w:r>
            <w:r w:rsidR="00720C0D" w:rsidRPr="007477BB">
              <w:rPr>
                <w:sz w:val="20"/>
                <w:szCs w:val="20"/>
              </w:rPr>
              <w:t xml:space="preserve"> on</w:t>
            </w:r>
            <w:r w:rsidRPr="007477BB">
              <w:rPr>
                <w:sz w:val="20"/>
                <w:szCs w:val="20"/>
              </w:rPr>
              <w:t xml:space="preserve"> a </w:t>
            </w:r>
            <w:r w:rsidR="009146AD" w:rsidRPr="007477BB">
              <w:rPr>
                <w:sz w:val="20"/>
                <w:szCs w:val="20"/>
              </w:rPr>
              <w:t xml:space="preserve">relevant </w:t>
            </w:r>
            <w:r w:rsidR="00E06207" w:rsidRPr="007477BB">
              <w:rPr>
                <w:sz w:val="20"/>
                <w:szCs w:val="20"/>
              </w:rPr>
              <w:t>public administration</w:t>
            </w:r>
            <w:r w:rsidR="00DB17EB" w:rsidRPr="007477BB">
              <w:rPr>
                <w:sz w:val="20"/>
                <w:szCs w:val="20"/>
              </w:rPr>
              <w:t xml:space="preserve"> topic</w:t>
            </w:r>
          </w:p>
        </w:tc>
        <w:tc>
          <w:tcPr>
            <w:tcW w:w="1496" w:type="dxa"/>
          </w:tcPr>
          <w:p w14:paraId="64CA2D0B" w14:textId="77777777" w:rsidR="009E1CA2" w:rsidRPr="007477BB" w:rsidRDefault="00C358A5" w:rsidP="009E1CA2">
            <w:pPr>
              <w:keepNext/>
              <w:jc w:val="center"/>
              <w:rPr>
                <w:sz w:val="20"/>
                <w:szCs w:val="20"/>
              </w:rPr>
            </w:pPr>
            <w:r w:rsidRPr="007477BB">
              <w:rPr>
                <w:sz w:val="20"/>
                <w:szCs w:val="20"/>
              </w:rPr>
              <w:t>S</w:t>
            </w:r>
            <w:r w:rsidR="00763E14" w:rsidRPr="007477BB">
              <w:rPr>
                <w:sz w:val="20"/>
                <w:szCs w:val="20"/>
              </w:rPr>
              <w:t>pring</w:t>
            </w:r>
            <w:r w:rsidRPr="007477BB">
              <w:rPr>
                <w:sz w:val="20"/>
                <w:szCs w:val="20"/>
              </w:rPr>
              <w:t xml:space="preserve"> semesters</w:t>
            </w:r>
            <w:r w:rsidR="00E06207" w:rsidRPr="007477BB">
              <w:rPr>
                <w:sz w:val="20"/>
                <w:szCs w:val="20"/>
              </w:rPr>
              <w:t>, beginning Spring 20</w:t>
            </w:r>
            <w:r w:rsidR="00763E14" w:rsidRPr="007477BB">
              <w:rPr>
                <w:sz w:val="20"/>
                <w:szCs w:val="20"/>
              </w:rPr>
              <w:t>0</w:t>
            </w:r>
            <w:r w:rsidR="00E06207" w:rsidRPr="007477BB">
              <w:rPr>
                <w:sz w:val="20"/>
                <w:szCs w:val="20"/>
              </w:rPr>
              <w:t>8</w:t>
            </w:r>
          </w:p>
        </w:tc>
        <w:tc>
          <w:tcPr>
            <w:tcW w:w="1496" w:type="dxa"/>
          </w:tcPr>
          <w:p w14:paraId="3B2EDC6F" w14:textId="77777777" w:rsidR="009E1CA2" w:rsidRPr="007477BB" w:rsidRDefault="00541B23" w:rsidP="009E1CA2">
            <w:pPr>
              <w:keepNext/>
              <w:jc w:val="center"/>
              <w:rPr>
                <w:sz w:val="20"/>
                <w:szCs w:val="20"/>
              </w:rPr>
            </w:pPr>
            <w:r w:rsidRPr="007477BB">
              <w:rPr>
                <w:sz w:val="20"/>
                <w:szCs w:val="20"/>
              </w:rPr>
              <w:t>Evaluation by faculty</w:t>
            </w:r>
            <w:r w:rsidR="00EE252A" w:rsidRPr="007477BB">
              <w:rPr>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1772" w:type="dxa"/>
          </w:tcPr>
          <w:p w14:paraId="0FCB5536" w14:textId="77777777" w:rsidR="009E1CA2" w:rsidRPr="007477BB" w:rsidRDefault="00E06207" w:rsidP="009E1CA2">
            <w:pPr>
              <w:keepNext/>
              <w:jc w:val="center"/>
              <w:rPr>
                <w:i w:val="0"/>
                <w:iCs w:val="0"/>
                <w:sz w:val="20"/>
                <w:szCs w:val="20"/>
              </w:rPr>
            </w:pPr>
            <w:r w:rsidRPr="007477BB">
              <w:rPr>
                <w:i w:val="0"/>
                <w:iCs w:val="0"/>
                <w:sz w:val="20"/>
                <w:szCs w:val="20"/>
              </w:rPr>
              <w:t>PADM</w:t>
            </w:r>
            <w:r w:rsidR="00763E14" w:rsidRPr="007477BB">
              <w:rPr>
                <w:i w:val="0"/>
                <w:iCs w:val="0"/>
                <w:sz w:val="20"/>
                <w:szCs w:val="20"/>
              </w:rPr>
              <w:t xml:space="preserve"> </w:t>
            </w:r>
            <w:r w:rsidR="00632A4E" w:rsidRPr="007477BB">
              <w:rPr>
                <w:i w:val="0"/>
                <w:iCs w:val="0"/>
                <w:sz w:val="20"/>
                <w:szCs w:val="20"/>
              </w:rPr>
              <w:t>faculty</w:t>
            </w:r>
          </w:p>
        </w:tc>
      </w:tr>
      <w:tr w:rsidR="009E1CA2" w:rsidRPr="007477BB" w14:paraId="0E931983" w14:textId="77777777" w:rsidTr="007477BB">
        <w:trPr>
          <w:trHeight w:val="244"/>
        </w:trPr>
        <w:tc>
          <w:tcPr>
            <w:tcW w:w="1548" w:type="dxa"/>
            <w:shd w:val="clear" w:color="auto" w:fill="D9D9D9" w:themeFill="background1" w:themeFillShade="D9"/>
          </w:tcPr>
          <w:p w14:paraId="762FB182" w14:textId="77777777" w:rsidR="009E1CA2" w:rsidRPr="007477BB" w:rsidRDefault="00DB17EB" w:rsidP="009E1CA2">
            <w:pPr>
              <w:keepNext/>
              <w:jc w:val="center"/>
              <w:rPr>
                <w:sz w:val="20"/>
                <w:szCs w:val="20"/>
              </w:rPr>
            </w:pPr>
            <w:r w:rsidRPr="007477BB">
              <w:rPr>
                <w:sz w:val="20"/>
                <w:szCs w:val="20"/>
              </w:rPr>
              <w:t>Written</w:t>
            </w:r>
            <w:r w:rsidR="00632A4E" w:rsidRPr="007477BB">
              <w:rPr>
                <w:sz w:val="20"/>
                <w:szCs w:val="20"/>
              </w:rPr>
              <w:t xml:space="preserve"> P</w:t>
            </w:r>
            <w:r w:rsidR="009E1CA2" w:rsidRPr="007477BB">
              <w:rPr>
                <w:sz w:val="20"/>
                <w:szCs w:val="20"/>
              </w:rPr>
              <w:t>apers</w:t>
            </w:r>
          </w:p>
        </w:tc>
        <w:tc>
          <w:tcPr>
            <w:tcW w:w="3048" w:type="dxa"/>
          </w:tcPr>
          <w:p w14:paraId="1EB9D11F" w14:textId="77777777" w:rsidR="009E1CA2" w:rsidRPr="007477BB" w:rsidRDefault="009146AD" w:rsidP="009E1CA2">
            <w:pPr>
              <w:keepNext/>
              <w:jc w:val="center"/>
              <w:rPr>
                <w:sz w:val="20"/>
                <w:szCs w:val="20"/>
              </w:rPr>
            </w:pPr>
            <w:r w:rsidRPr="007477BB">
              <w:rPr>
                <w:sz w:val="20"/>
                <w:szCs w:val="20"/>
              </w:rPr>
              <w:t>Compose varied length p</w:t>
            </w:r>
            <w:r w:rsidR="009E1CA2" w:rsidRPr="007477BB">
              <w:rPr>
                <w:sz w:val="20"/>
                <w:szCs w:val="20"/>
              </w:rPr>
              <w:t xml:space="preserve">apers as part of </w:t>
            </w:r>
            <w:r w:rsidR="00A37E83" w:rsidRPr="007477BB">
              <w:rPr>
                <w:sz w:val="20"/>
                <w:szCs w:val="20"/>
              </w:rPr>
              <w:t xml:space="preserve">the </w:t>
            </w:r>
            <w:r w:rsidR="00E06207" w:rsidRPr="007477BB">
              <w:rPr>
                <w:sz w:val="20"/>
                <w:szCs w:val="20"/>
              </w:rPr>
              <w:t>public administration</w:t>
            </w:r>
            <w:r w:rsidRPr="007477BB">
              <w:rPr>
                <w:sz w:val="20"/>
                <w:szCs w:val="20"/>
              </w:rPr>
              <w:t xml:space="preserve"> </w:t>
            </w:r>
            <w:r w:rsidR="00167FEE" w:rsidRPr="007477BB">
              <w:rPr>
                <w:sz w:val="20"/>
                <w:szCs w:val="20"/>
              </w:rPr>
              <w:t>course assignments</w:t>
            </w:r>
          </w:p>
        </w:tc>
        <w:tc>
          <w:tcPr>
            <w:tcW w:w="1496" w:type="dxa"/>
          </w:tcPr>
          <w:p w14:paraId="599866B4" w14:textId="77777777" w:rsidR="009E1CA2" w:rsidRPr="007477BB" w:rsidRDefault="00C358A5" w:rsidP="009E1CA2">
            <w:pPr>
              <w:keepNext/>
              <w:jc w:val="center"/>
              <w:rPr>
                <w:sz w:val="20"/>
                <w:szCs w:val="20"/>
              </w:rPr>
            </w:pPr>
            <w:r w:rsidRPr="007477BB">
              <w:rPr>
                <w:sz w:val="20"/>
                <w:szCs w:val="20"/>
              </w:rPr>
              <w:t xml:space="preserve">Fall and Spring semesters, beginning </w:t>
            </w:r>
            <w:r w:rsidR="006A49D9" w:rsidRPr="007477BB">
              <w:rPr>
                <w:sz w:val="20"/>
                <w:szCs w:val="20"/>
              </w:rPr>
              <w:t>Fall</w:t>
            </w:r>
            <w:r w:rsidRPr="007477BB">
              <w:rPr>
                <w:sz w:val="20"/>
                <w:szCs w:val="20"/>
              </w:rPr>
              <w:t xml:space="preserve"> 2007</w:t>
            </w:r>
          </w:p>
        </w:tc>
        <w:tc>
          <w:tcPr>
            <w:tcW w:w="1496" w:type="dxa"/>
          </w:tcPr>
          <w:p w14:paraId="46A8FC6E" w14:textId="77777777" w:rsidR="009E1CA2" w:rsidRPr="007477BB" w:rsidRDefault="00541B23" w:rsidP="009E1CA2">
            <w:pPr>
              <w:keepNext/>
              <w:jc w:val="center"/>
              <w:rPr>
                <w:sz w:val="20"/>
                <w:szCs w:val="20"/>
              </w:rPr>
            </w:pPr>
            <w:r w:rsidRPr="007477BB">
              <w:rPr>
                <w:sz w:val="20"/>
                <w:szCs w:val="20"/>
              </w:rPr>
              <w:t>Evaluation by faculty</w:t>
            </w:r>
            <w:r w:rsidR="009E1CA2" w:rsidRPr="007477BB">
              <w:rPr>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1772" w:type="dxa"/>
          </w:tcPr>
          <w:p w14:paraId="5BE8D729" w14:textId="77777777" w:rsidR="009E1CA2" w:rsidRPr="007477BB" w:rsidRDefault="009E1CA2" w:rsidP="009E1CA2">
            <w:pPr>
              <w:keepNext/>
              <w:jc w:val="center"/>
              <w:rPr>
                <w:i w:val="0"/>
                <w:iCs w:val="0"/>
                <w:sz w:val="20"/>
                <w:szCs w:val="20"/>
              </w:rPr>
            </w:pPr>
            <w:r w:rsidRPr="007477BB">
              <w:rPr>
                <w:i w:val="0"/>
                <w:iCs w:val="0"/>
                <w:sz w:val="20"/>
                <w:szCs w:val="20"/>
              </w:rPr>
              <w:t>Course Instructors</w:t>
            </w:r>
          </w:p>
        </w:tc>
      </w:tr>
      <w:tr w:rsidR="0049103B" w:rsidRPr="007477BB" w14:paraId="48CD7508" w14:textId="77777777" w:rsidTr="007477BB">
        <w:trPr>
          <w:trHeight w:val="244"/>
        </w:trPr>
        <w:tc>
          <w:tcPr>
            <w:tcW w:w="1548" w:type="dxa"/>
            <w:shd w:val="clear" w:color="auto" w:fill="D9D9D9" w:themeFill="background1" w:themeFillShade="D9"/>
          </w:tcPr>
          <w:p w14:paraId="3C46735B" w14:textId="77777777" w:rsidR="0049103B" w:rsidRPr="007477BB" w:rsidRDefault="0049103B" w:rsidP="009E1CA2">
            <w:pPr>
              <w:keepNext/>
              <w:jc w:val="center"/>
              <w:rPr>
                <w:sz w:val="20"/>
                <w:szCs w:val="20"/>
              </w:rPr>
            </w:pPr>
            <w:r w:rsidRPr="007477BB">
              <w:rPr>
                <w:sz w:val="20"/>
                <w:szCs w:val="20"/>
              </w:rPr>
              <w:t>Group Projects</w:t>
            </w:r>
          </w:p>
        </w:tc>
        <w:tc>
          <w:tcPr>
            <w:tcW w:w="3048" w:type="dxa"/>
          </w:tcPr>
          <w:p w14:paraId="75C44FCF" w14:textId="77777777" w:rsidR="0049103B" w:rsidRPr="007477BB" w:rsidRDefault="0049103B" w:rsidP="009E1CA2">
            <w:pPr>
              <w:keepNext/>
              <w:jc w:val="center"/>
              <w:rPr>
                <w:sz w:val="20"/>
                <w:szCs w:val="20"/>
              </w:rPr>
            </w:pPr>
            <w:r w:rsidRPr="007477BB">
              <w:rPr>
                <w:sz w:val="20"/>
                <w:szCs w:val="20"/>
              </w:rPr>
              <w:t xml:space="preserve">Work in teams to produce a </w:t>
            </w:r>
            <w:r w:rsidR="006A49D9" w:rsidRPr="007477BB">
              <w:rPr>
                <w:sz w:val="20"/>
                <w:szCs w:val="20"/>
              </w:rPr>
              <w:t>product (report</w:t>
            </w:r>
            <w:r w:rsidRPr="007477BB">
              <w:rPr>
                <w:sz w:val="20"/>
                <w:szCs w:val="20"/>
              </w:rPr>
              <w:t>, presentation, etc.)</w:t>
            </w:r>
          </w:p>
        </w:tc>
        <w:tc>
          <w:tcPr>
            <w:tcW w:w="1496" w:type="dxa"/>
          </w:tcPr>
          <w:p w14:paraId="0736ABAB" w14:textId="77777777" w:rsidR="0049103B" w:rsidRPr="007477BB" w:rsidRDefault="0049103B" w:rsidP="009E1CA2">
            <w:pPr>
              <w:keepNext/>
              <w:jc w:val="center"/>
              <w:rPr>
                <w:sz w:val="20"/>
                <w:szCs w:val="20"/>
              </w:rPr>
            </w:pPr>
            <w:r w:rsidRPr="007477BB">
              <w:rPr>
                <w:sz w:val="20"/>
                <w:szCs w:val="20"/>
              </w:rPr>
              <w:t xml:space="preserve">Fall and Spring semesters, beginning </w:t>
            </w:r>
            <w:r w:rsidR="006A49D9" w:rsidRPr="007477BB">
              <w:rPr>
                <w:sz w:val="20"/>
                <w:szCs w:val="20"/>
              </w:rPr>
              <w:t>Fall</w:t>
            </w:r>
            <w:r w:rsidRPr="007477BB">
              <w:rPr>
                <w:sz w:val="20"/>
                <w:szCs w:val="20"/>
              </w:rPr>
              <w:t xml:space="preserve"> 2007</w:t>
            </w:r>
          </w:p>
        </w:tc>
        <w:tc>
          <w:tcPr>
            <w:tcW w:w="1496" w:type="dxa"/>
          </w:tcPr>
          <w:p w14:paraId="57646F26" w14:textId="77777777" w:rsidR="0049103B" w:rsidRPr="007477BB" w:rsidRDefault="0049103B" w:rsidP="009E1CA2">
            <w:pPr>
              <w:keepNext/>
              <w:jc w:val="center"/>
              <w:rPr>
                <w:sz w:val="20"/>
                <w:szCs w:val="20"/>
              </w:rPr>
            </w:pPr>
            <w:r w:rsidRPr="007477BB">
              <w:rPr>
                <w:sz w:val="20"/>
                <w:szCs w:val="20"/>
              </w:rPr>
              <w:t xml:space="preserve">Evaluation by faculty </w:t>
            </w:r>
          </w:p>
        </w:tc>
        <w:tc>
          <w:tcPr>
            <w:cnfStyle w:val="000100000000" w:firstRow="0" w:lastRow="0" w:firstColumn="0" w:lastColumn="1" w:oddVBand="0" w:evenVBand="0" w:oddHBand="0" w:evenHBand="0" w:firstRowFirstColumn="0" w:firstRowLastColumn="0" w:lastRowFirstColumn="0" w:lastRowLastColumn="0"/>
            <w:tcW w:w="1772" w:type="dxa"/>
          </w:tcPr>
          <w:p w14:paraId="4308EF34" w14:textId="77777777" w:rsidR="0049103B" w:rsidRPr="007477BB" w:rsidRDefault="0049103B" w:rsidP="009E1CA2">
            <w:pPr>
              <w:keepNext/>
              <w:jc w:val="center"/>
              <w:rPr>
                <w:i w:val="0"/>
                <w:iCs w:val="0"/>
                <w:sz w:val="20"/>
                <w:szCs w:val="20"/>
              </w:rPr>
            </w:pPr>
            <w:r w:rsidRPr="007477BB">
              <w:rPr>
                <w:i w:val="0"/>
                <w:iCs w:val="0"/>
                <w:sz w:val="20"/>
                <w:szCs w:val="20"/>
              </w:rPr>
              <w:t>Course Instructors</w:t>
            </w:r>
          </w:p>
        </w:tc>
      </w:tr>
      <w:tr w:rsidR="0049103B" w:rsidRPr="007477BB" w14:paraId="2267A3F3" w14:textId="77777777" w:rsidTr="007477BB">
        <w:trPr>
          <w:trHeight w:val="244"/>
        </w:trPr>
        <w:tc>
          <w:tcPr>
            <w:tcW w:w="1548" w:type="dxa"/>
            <w:shd w:val="clear" w:color="auto" w:fill="D9D9D9" w:themeFill="background1" w:themeFillShade="D9"/>
          </w:tcPr>
          <w:p w14:paraId="0D0F9744" w14:textId="77777777" w:rsidR="0049103B" w:rsidRPr="007477BB" w:rsidRDefault="0049103B" w:rsidP="009E1CA2">
            <w:pPr>
              <w:keepNext/>
              <w:jc w:val="center"/>
              <w:rPr>
                <w:sz w:val="20"/>
                <w:szCs w:val="20"/>
              </w:rPr>
            </w:pPr>
            <w:r w:rsidRPr="007477BB">
              <w:rPr>
                <w:sz w:val="20"/>
                <w:szCs w:val="20"/>
              </w:rPr>
              <w:t>Embedded Course-Level Assessments</w:t>
            </w:r>
          </w:p>
        </w:tc>
        <w:tc>
          <w:tcPr>
            <w:tcW w:w="3048" w:type="dxa"/>
          </w:tcPr>
          <w:p w14:paraId="2A2AB9A3" w14:textId="77777777" w:rsidR="0049103B" w:rsidRPr="007477BB" w:rsidRDefault="0049103B" w:rsidP="009E1CA2">
            <w:pPr>
              <w:keepNext/>
              <w:jc w:val="center"/>
              <w:rPr>
                <w:sz w:val="20"/>
                <w:szCs w:val="20"/>
              </w:rPr>
            </w:pPr>
            <w:r w:rsidRPr="007477BB">
              <w:rPr>
                <w:sz w:val="20"/>
                <w:szCs w:val="20"/>
              </w:rPr>
              <w:t>Complete or perform specific assignments and/or sections of course examinations</w:t>
            </w:r>
          </w:p>
        </w:tc>
        <w:tc>
          <w:tcPr>
            <w:tcW w:w="1496" w:type="dxa"/>
          </w:tcPr>
          <w:p w14:paraId="442062F4" w14:textId="77777777" w:rsidR="0049103B" w:rsidRPr="007477BB" w:rsidRDefault="0049103B" w:rsidP="009E1CA2">
            <w:pPr>
              <w:keepNext/>
              <w:jc w:val="center"/>
              <w:rPr>
                <w:sz w:val="20"/>
                <w:szCs w:val="20"/>
              </w:rPr>
            </w:pPr>
            <w:r w:rsidRPr="007477BB">
              <w:rPr>
                <w:sz w:val="20"/>
                <w:szCs w:val="20"/>
              </w:rPr>
              <w:t xml:space="preserve">Fall and Spring semesters, beginning </w:t>
            </w:r>
            <w:r w:rsidR="00987EB0" w:rsidRPr="007477BB">
              <w:rPr>
                <w:sz w:val="20"/>
                <w:szCs w:val="20"/>
              </w:rPr>
              <w:t>Fall 2007</w:t>
            </w:r>
          </w:p>
        </w:tc>
        <w:tc>
          <w:tcPr>
            <w:tcW w:w="1496" w:type="dxa"/>
          </w:tcPr>
          <w:p w14:paraId="29810215" w14:textId="77777777" w:rsidR="0049103B" w:rsidRPr="007477BB" w:rsidRDefault="0049103B" w:rsidP="009E1CA2">
            <w:pPr>
              <w:keepNext/>
              <w:jc w:val="center"/>
              <w:rPr>
                <w:sz w:val="20"/>
                <w:szCs w:val="20"/>
              </w:rPr>
            </w:pPr>
            <w:r w:rsidRPr="007477BB">
              <w:rPr>
                <w:sz w:val="20"/>
                <w:szCs w:val="20"/>
              </w:rPr>
              <w:t>Evaluation by faculty</w:t>
            </w:r>
          </w:p>
        </w:tc>
        <w:tc>
          <w:tcPr>
            <w:cnfStyle w:val="000100000000" w:firstRow="0" w:lastRow="0" w:firstColumn="0" w:lastColumn="1" w:oddVBand="0" w:evenVBand="0" w:oddHBand="0" w:evenHBand="0" w:firstRowFirstColumn="0" w:firstRowLastColumn="0" w:lastRowFirstColumn="0" w:lastRowLastColumn="0"/>
            <w:tcW w:w="1772" w:type="dxa"/>
          </w:tcPr>
          <w:p w14:paraId="5539B87E" w14:textId="77777777" w:rsidR="0049103B" w:rsidRPr="007477BB" w:rsidRDefault="0049103B" w:rsidP="009E1CA2">
            <w:pPr>
              <w:keepNext/>
              <w:jc w:val="center"/>
              <w:rPr>
                <w:i w:val="0"/>
                <w:iCs w:val="0"/>
                <w:sz w:val="20"/>
                <w:szCs w:val="20"/>
              </w:rPr>
            </w:pPr>
            <w:r w:rsidRPr="007477BB">
              <w:rPr>
                <w:i w:val="0"/>
                <w:iCs w:val="0"/>
                <w:sz w:val="20"/>
                <w:szCs w:val="20"/>
              </w:rPr>
              <w:t>Course Instructors</w:t>
            </w:r>
          </w:p>
        </w:tc>
      </w:tr>
      <w:tr w:rsidR="004B751B" w:rsidRPr="007477BB" w14:paraId="3DAF5E58" w14:textId="77777777" w:rsidTr="007477BB">
        <w:trPr>
          <w:trHeight w:val="244"/>
        </w:trPr>
        <w:tc>
          <w:tcPr>
            <w:tcW w:w="1548" w:type="dxa"/>
            <w:shd w:val="clear" w:color="auto" w:fill="D9D9D9" w:themeFill="background1" w:themeFillShade="D9"/>
          </w:tcPr>
          <w:p w14:paraId="7D096383" w14:textId="77777777" w:rsidR="004B751B" w:rsidRPr="007477BB" w:rsidRDefault="007C5270" w:rsidP="009E1CA2">
            <w:pPr>
              <w:keepNext/>
              <w:jc w:val="center"/>
              <w:rPr>
                <w:sz w:val="20"/>
                <w:szCs w:val="20"/>
              </w:rPr>
            </w:pPr>
            <w:r w:rsidRPr="007477BB">
              <w:rPr>
                <w:sz w:val="20"/>
                <w:szCs w:val="20"/>
              </w:rPr>
              <w:t>Grades</w:t>
            </w:r>
          </w:p>
        </w:tc>
        <w:tc>
          <w:tcPr>
            <w:tcW w:w="3048" w:type="dxa"/>
          </w:tcPr>
          <w:p w14:paraId="6C3B884E" w14:textId="77777777" w:rsidR="004B751B" w:rsidRPr="007477BB" w:rsidRDefault="007C5270" w:rsidP="009E1CA2">
            <w:pPr>
              <w:keepNext/>
              <w:jc w:val="center"/>
              <w:rPr>
                <w:sz w:val="20"/>
                <w:szCs w:val="20"/>
              </w:rPr>
            </w:pPr>
            <w:r w:rsidRPr="007477BB">
              <w:rPr>
                <w:sz w:val="20"/>
                <w:szCs w:val="20"/>
              </w:rPr>
              <w:t>Complete all courses with a satisfactory grade.</w:t>
            </w:r>
          </w:p>
        </w:tc>
        <w:tc>
          <w:tcPr>
            <w:tcW w:w="1496" w:type="dxa"/>
          </w:tcPr>
          <w:p w14:paraId="42E911F2" w14:textId="77777777" w:rsidR="004B751B" w:rsidRPr="007477BB" w:rsidRDefault="007C5270" w:rsidP="009E1CA2">
            <w:pPr>
              <w:keepNext/>
              <w:jc w:val="center"/>
              <w:rPr>
                <w:sz w:val="20"/>
                <w:szCs w:val="20"/>
              </w:rPr>
            </w:pPr>
            <w:r w:rsidRPr="007477BB">
              <w:rPr>
                <w:sz w:val="20"/>
                <w:szCs w:val="20"/>
              </w:rPr>
              <w:t>Fall and Spring</w:t>
            </w:r>
            <w:r w:rsidR="004B751B" w:rsidRPr="007477BB">
              <w:rPr>
                <w:sz w:val="20"/>
                <w:szCs w:val="20"/>
              </w:rPr>
              <w:t xml:space="preserve"> semesters, beginning </w:t>
            </w:r>
            <w:r w:rsidRPr="007477BB">
              <w:rPr>
                <w:sz w:val="20"/>
                <w:szCs w:val="20"/>
              </w:rPr>
              <w:t>Fall</w:t>
            </w:r>
            <w:r w:rsidR="004B751B" w:rsidRPr="007477BB">
              <w:rPr>
                <w:sz w:val="20"/>
                <w:szCs w:val="20"/>
              </w:rPr>
              <w:t xml:space="preserve"> 200</w:t>
            </w:r>
            <w:r w:rsidRPr="007477BB">
              <w:rPr>
                <w:sz w:val="20"/>
                <w:szCs w:val="20"/>
              </w:rPr>
              <w:t>7</w:t>
            </w:r>
          </w:p>
        </w:tc>
        <w:tc>
          <w:tcPr>
            <w:tcW w:w="1496" w:type="dxa"/>
          </w:tcPr>
          <w:p w14:paraId="02624344" w14:textId="77777777" w:rsidR="004B751B" w:rsidRPr="007477BB" w:rsidRDefault="004B751B" w:rsidP="009E1CA2">
            <w:pPr>
              <w:keepNext/>
              <w:jc w:val="center"/>
              <w:rPr>
                <w:sz w:val="20"/>
                <w:szCs w:val="20"/>
              </w:rPr>
            </w:pPr>
            <w:r w:rsidRPr="007477BB">
              <w:rPr>
                <w:sz w:val="20"/>
                <w:szCs w:val="20"/>
              </w:rPr>
              <w:t xml:space="preserve">Evaluation by faculty </w:t>
            </w:r>
          </w:p>
        </w:tc>
        <w:tc>
          <w:tcPr>
            <w:cnfStyle w:val="000100000000" w:firstRow="0" w:lastRow="0" w:firstColumn="0" w:lastColumn="1" w:oddVBand="0" w:evenVBand="0" w:oddHBand="0" w:evenHBand="0" w:firstRowFirstColumn="0" w:firstRowLastColumn="0" w:lastRowFirstColumn="0" w:lastRowLastColumn="0"/>
            <w:tcW w:w="1772" w:type="dxa"/>
          </w:tcPr>
          <w:p w14:paraId="0EBB2CB9" w14:textId="77777777" w:rsidR="004B751B" w:rsidRPr="007477BB" w:rsidRDefault="004B751B" w:rsidP="009E1CA2">
            <w:pPr>
              <w:keepNext/>
              <w:jc w:val="center"/>
              <w:rPr>
                <w:i w:val="0"/>
                <w:iCs w:val="0"/>
                <w:sz w:val="20"/>
                <w:szCs w:val="20"/>
              </w:rPr>
            </w:pPr>
            <w:r w:rsidRPr="007477BB">
              <w:rPr>
                <w:i w:val="0"/>
                <w:iCs w:val="0"/>
                <w:sz w:val="20"/>
                <w:szCs w:val="20"/>
              </w:rPr>
              <w:t>Course Instructors</w:t>
            </w:r>
          </w:p>
        </w:tc>
      </w:tr>
      <w:tr w:rsidR="004B751B" w:rsidRPr="007477BB" w14:paraId="0760184D" w14:textId="77777777" w:rsidTr="007477BB">
        <w:trPr>
          <w:cnfStyle w:val="010000000000" w:firstRow="0" w:lastRow="1" w:firstColumn="0" w:lastColumn="0" w:oddVBand="0" w:evenVBand="0" w:oddHBand="0" w:evenHBand="0" w:firstRowFirstColumn="0" w:firstRowLastColumn="0" w:lastRowFirstColumn="0" w:lastRowLastColumn="0"/>
          <w:trHeight w:val="244"/>
        </w:trPr>
        <w:tc>
          <w:tcPr>
            <w:tcW w:w="1548" w:type="dxa"/>
            <w:shd w:val="clear" w:color="auto" w:fill="D9D9D9" w:themeFill="background1" w:themeFillShade="D9"/>
          </w:tcPr>
          <w:p w14:paraId="0BC33C19" w14:textId="77777777" w:rsidR="004B751B" w:rsidRPr="007477BB" w:rsidRDefault="007C5270" w:rsidP="009E1CA2">
            <w:pPr>
              <w:keepNext/>
              <w:jc w:val="center"/>
              <w:rPr>
                <w:i w:val="0"/>
                <w:iCs w:val="0"/>
                <w:sz w:val="20"/>
                <w:szCs w:val="20"/>
              </w:rPr>
            </w:pPr>
            <w:r w:rsidRPr="007477BB">
              <w:rPr>
                <w:i w:val="0"/>
                <w:iCs w:val="0"/>
                <w:sz w:val="20"/>
                <w:szCs w:val="20"/>
              </w:rPr>
              <w:t>Comprehensive Exam</w:t>
            </w:r>
          </w:p>
        </w:tc>
        <w:tc>
          <w:tcPr>
            <w:tcW w:w="3048" w:type="dxa"/>
          </w:tcPr>
          <w:p w14:paraId="5BE554A9" w14:textId="77777777" w:rsidR="004B751B" w:rsidRPr="007477BB" w:rsidRDefault="007C5270" w:rsidP="009E1CA2">
            <w:pPr>
              <w:keepNext/>
              <w:jc w:val="center"/>
              <w:rPr>
                <w:i w:val="0"/>
                <w:iCs w:val="0"/>
                <w:sz w:val="20"/>
                <w:szCs w:val="20"/>
              </w:rPr>
            </w:pPr>
            <w:r w:rsidRPr="007477BB">
              <w:rPr>
                <w:i w:val="0"/>
                <w:iCs w:val="0"/>
                <w:sz w:val="20"/>
                <w:szCs w:val="20"/>
              </w:rPr>
              <w:t>Pass the comprehensive exam after completing the core classes offered in the</w:t>
            </w:r>
            <w:r w:rsidR="00A37E83" w:rsidRPr="007477BB">
              <w:rPr>
                <w:i w:val="0"/>
                <w:iCs w:val="0"/>
                <w:sz w:val="20"/>
                <w:szCs w:val="20"/>
              </w:rPr>
              <w:t xml:space="preserve"> public administration</w:t>
            </w:r>
            <w:r w:rsidRPr="007477BB">
              <w:rPr>
                <w:i w:val="0"/>
                <w:iCs w:val="0"/>
                <w:sz w:val="20"/>
                <w:szCs w:val="20"/>
              </w:rPr>
              <w:t xml:space="preserve"> program.</w:t>
            </w:r>
          </w:p>
        </w:tc>
        <w:tc>
          <w:tcPr>
            <w:tcW w:w="1496" w:type="dxa"/>
          </w:tcPr>
          <w:p w14:paraId="07EDBF79" w14:textId="77777777" w:rsidR="004B751B" w:rsidRPr="007477BB" w:rsidRDefault="007C5270" w:rsidP="009E1CA2">
            <w:pPr>
              <w:keepNext/>
              <w:jc w:val="center"/>
              <w:rPr>
                <w:i w:val="0"/>
                <w:iCs w:val="0"/>
                <w:sz w:val="20"/>
                <w:szCs w:val="20"/>
              </w:rPr>
            </w:pPr>
            <w:r w:rsidRPr="007477BB">
              <w:rPr>
                <w:i w:val="0"/>
                <w:iCs w:val="0"/>
                <w:sz w:val="20"/>
                <w:szCs w:val="20"/>
              </w:rPr>
              <w:t>Fall and Spring, beginning Fall 2007</w:t>
            </w:r>
          </w:p>
        </w:tc>
        <w:tc>
          <w:tcPr>
            <w:tcW w:w="1496" w:type="dxa"/>
          </w:tcPr>
          <w:p w14:paraId="46D743E6" w14:textId="77777777" w:rsidR="004B751B" w:rsidRPr="007477BB" w:rsidRDefault="007C5270" w:rsidP="009E1CA2">
            <w:pPr>
              <w:keepNext/>
              <w:jc w:val="center"/>
              <w:rPr>
                <w:i w:val="0"/>
                <w:iCs w:val="0"/>
                <w:sz w:val="20"/>
                <w:szCs w:val="20"/>
              </w:rPr>
            </w:pPr>
            <w:r w:rsidRPr="007477BB">
              <w:rPr>
                <w:i w:val="0"/>
                <w:iCs w:val="0"/>
                <w:sz w:val="20"/>
                <w:szCs w:val="20"/>
              </w:rPr>
              <w:t>Evaluation by faculty</w:t>
            </w:r>
          </w:p>
        </w:tc>
        <w:tc>
          <w:tcPr>
            <w:cnfStyle w:val="000100000000" w:firstRow="0" w:lastRow="0" w:firstColumn="0" w:lastColumn="1" w:oddVBand="0" w:evenVBand="0" w:oddHBand="0" w:evenHBand="0" w:firstRowFirstColumn="0" w:firstRowLastColumn="0" w:lastRowFirstColumn="0" w:lastRowLastColumn="0"/>
            <w:tcW w:w="1772" w:type="dxa"/>
          </w:tcPr>
          <w:p w14:paraId="4B549835" w14:textId="77777777" w:rsidR="004B751B" w:rsidRPr="007477BB" w:rsidRDefault="007C5270" w:rsidP="009E1CA2">
            <w:pPr>
              <w:keepNext/>
              <w:jc w:val="center"/>
              <w:rPr>
                <w:i w:val="0"/>
                <w:iCs w:val="0"/>
                <w:sz w:val="20"/>
                <w:szCs w:val="20"/>
              </w:rPr>
            </w:pPr>
            <w:r w:rsidRPr="007477BB">
              <w:rPr>
                <w:i w:val="0"/>
                <w:iCs w:val="0"/>
                <w:sz w:val="20"/>
                <w:szCs w:val="20"/>
              </w:rPr>
              <w:t>PADM faculty</w:t>
            </w:r>
          </w:p>
        </w:tc>
      </w:tr>
    </w:tbl>
    <w:p w14:paraId="0C90FCCB" w14:textId="77777777" w:rsidR="009E1CA2" w:rsidRPr="00D87B18" w:rsidRDefault="009E1CA2" w:rsidP="009E1CA2">
      <w:pPr>
        <w:jc w:val="center"/>
        <w:rPr>
          <w:b/>
          <w:bCs/>
        </w:rPr>
      </w:pPr>
    </w:p>
    <w:p w14:paraId="313EC1C7" w14:textId="77777777" w:rsidR="00924D52" w:rsidRPr="00D87B18" w:rsidRDefault="00924D52">
      <w:pPr>
        <w:jc w:val="center"/>
      </w:pPr>
    </w:p>
    <w:p w14:paraId="4F9CB473" w14:textId="77777777" w:rsidR="000E0768" w:rsidRPr="00D87B18" w:rsidRDefault="00D4146F" w:rsidP="000E0768">
      <w:r>
        <w:br w:type="page"/>
      </w:r>
      <w:r w:rsidR="00A37E83" w:rsidRPr="00D87B18">
        <w:lastRenderedPageBreak/>
        <w:t>Table 3</w:t>
      </w:r>
      <w:r w:rsidR="000E0768" w:rsidRPr="00D87B18">
        <w:t xml:space="preserve"> shows how each </w:t>
      </w:r>
      <w:r w:rsidR="000E0D99" w:rsidRPr="00D87B18">
        <w:t xml:space="preserve">assessment </w:t>
      </w:r>
      <w:r w:rsidR="000E0768" w:rsidRPr="00D87B18">
        <w:t xml:space="preserve">tool associates with one or more learning </w:t>
      </w:r>
      <w:r w:rsidR="000E0D99" w:rsidRPr="00D87B18">
        <w:t>goals</w:t>
      </w:r>
      <w:r w:rsidR="000E0768" w:rsidRPr="00D87B18">
        <w:t xml:space="preserve">.  </w:t>
      </w:r>
      <w:r w:rsidR="000E0D99" w:rsidRPr="00D87B18">
        <w:t xml:space="preserve">Examples of some of the tools / rubrics are included in a </w:t>
      </w:r>
      <w:r w:rsidR="000E0768" w:rsidRPr="00D87B18">
        <w:t>separate appendix</w:t>
      </w:r>
      <w:r w:rsidR="000E0D99" w:rsidRPr="00D87B18">
        <w:t xml:space="preserve"> along with a description of</w:t>
      </w:r>
      <w:r w:rsidR="000E0768" w:rsidRPr="00D87B18">
        <w:t xml:space="preserve"> </w:t>
      </w:r>
      <w:r w:rsidR="000E0D99" w:rsidRPr="00D87B18">
        <w:t xml:space="preserve">how they will be implemented and any </w:t>
      </w:r>
      <w:r w:rsidR="000E0768" w:rsidRPr="00D87B18">
        <w:t xml:space="preserve">factors </w:t>
      </w:r>
      <w:r w:rsidR="000E0D99" w:rsidRPr="00D87B18">
        <w:t xml:space="preserve">that may </w:t>
      </w:r>
      <w:r w:rsidR="000E0768" w:rsidRPr="00D87B18">
        <w:t>affect</w:t>
      </w:r>
      <w:r w:rsidR="000E0D99" w:rsidRPr="00D87B18">
        <w:t xml:space="preserve"> </w:t>
      </w:r>
      <w:r w:rsidR="000E0768" w:rsidRPr="00D87B18">
        <w:t>results</w:t>
      </w:r>
      <w:r w:rsidR="000E0D99" w:rsidRPr="00D87B18">
        <w:t>.</w:t>
      </w:r>
    </w:p>
    <w:p w14:paraId="49C392B8" w14:textId="77777777" w:rsidR="00924D52" w:rsidRPr="00D87B18" w:rsidRDefault="00924D52"/>
    <w:p w14:paraId="6EE068BE" w14:textId="77777777" w:rsidR="00550719" w:rsidRPr="00D87B18" w:rsidRDefault="00550719" w:rsidP="004E3B14">
      <w:pPr>
        <w:pStyle w:val="Caption"/>
        <w:keepNext/>
        <w:jc w:val="center"/>
        <w:rPr>
          <w:sz w:val="22"/>
          <w:szCs w:val="22"/>
        </w:rPr>
      </w:pPr>
      <w:r w:rsidRPr="00D87B18">
        <w:rPr>
          <w:sz w:val="22"/>
          <w:szCs w:val="22"/>
        </w:rPr>
        <w:t xml:space="preserve">Table </w:t>
      </w:r>
      <w:r w:rsidR="004E3B14" w:rsidRPr="00D87B18">
        <w:rPr>
          <w:sz w:val="22"/>
          <w:szCs w:val="22"/>
        </w:rPr>
        <w:t>3</w:t>
      </w:r>
      <w:r w:rsidRPr="00D87B18">
        <w:rPr>
          <w:sz w:val="22"/>
          <w:szCs w:val="22"/>
        </w:rPr>
        <w:t xml:space="preserve"> - Association of Assessment Tools to Learning Goals</w:t>
      </w:r>
    </w:p>
    <w:tbl>
      <w:tblPr>
        <w:tblStyle w:val="TableGrid1"/>
        <w:tblW w:w="10347" w:type="dxa"/>
        <w:tblLook w:val="00A0" w:firstRow="1" w:lastRow="0" w:firstColumn="1" w:lastColumn="0" w:noHBand="0" w:noVBand="0"/>
        <w:tblCaption w:val="Association of Assessment Tools to Learning Goals"/>
      </w:tblPr>
      <w:tblGrid>
        <w:gridCol w:w="5295"/>
        <w:gridCol w:w="938"/>
        <w:gridCol w:w="748"/>
        <w:gridCol w:w="689"/>
        <w:gridCol w:w="994"/>
        <w:gridCol w:w="748"/>
        <w:gridCol w:w="935"/>
      </w:tblGrid>
      <w:tr w:rsidR="00DA0BD9" w:rsidRPr="00D87B18" w14:paraId="35B2DCC1" w14:textId="77777777" w:rsidTr="00532140">
        <w:trPr>
          <w:trHeight w:val="1509"/>
          <w:tblHeader/>
        </w:trPr>
        <w:tc>
          <w:tcPr>
            <w:tcW w:w="5295" w:type="dxa"/>
            <w:tcBorders>
              <w:bottom w:val="single" w:sz="6" w:space="0" w:color="000000"/>
            </w:tcBorders>
          </w:tcPr>
          <w:p w14:paraId="321F414D" w14:textId="77777777" w:rsidR="00DA0BD9" w:rsidRPr="00D87B18" w:rsidRDefault="00DA0BD9">
            <w:pPr>
              <w:pStyle w:val="Header"/>
              <w:tabs>
                <w:tab w:val="clear" w:pos="4320"/>
                <w:tab w:val="clear" w:pos="8640"/>
              </w:tabs>
              <w:rPr>
                <w:sz w:val="20"/>
                <w:szCs w:val="20"/>
              </w:rPr>
            </w:pPr>
          </w:p>
        </w:tc>
        <w:tc>
          <w:tcPr>
            <w:tcW w:w="938" w:type="dxa"/>
            <w:shd w:val="clear" w:color="auto" w:fill="D9D9D9" w:themeFill="background1" w:themeFillShade="D9"/>
            <w:textDirection w:val="btLr"/>
          </w:tcPr>
          <w:p w14:paraId="7418FF9C" w14:textId="77777777" w:rsidR="00DA0BD9" w:rsidRPr="00D87B18" w:rsidRDefault="00DA0BD9">
            <w:pPr>
              <w:ind w:left="113" w:right="113"/>
              <w:jc w:val="center"/>
              <w:rPr>
                <w:sz w:val="20"/>
                <w:szCs w:val="20"/>
              </w:rPr>
            </w:pPr>
            <w:r w:rsidRPr="00D87B18">
              <w:rPr>
                <w:sz w:val="20"/>
                <w:szCs w:val="20"/>
              </w:rPr>
              <w:t>Capstone</w:t>
            </w:r>
          </w:p>
          <w:p w14:paraId="7E12FF4D" w14:textId="77777777" w:rsidR="00DA0BD9" w:rsidRPr="00D87B18" w:rsidRDefault="00DA0BD9">
            <w:pPr>
              <w:ind w:left="113" w:right="113"/>
              <w:jc w:val="center"/>
              <w:rPr>
                <w:sz w:val="20"/>
                <w:szCs w:val="20"/>
              </w:rPr>
            </w:pPr>
            <w:r w:rsidRPr="00D87B18">
              <w:rPr>
                <w:sz w:val="20"/>
                <w:szCs w:val="20"/>
              </w:rPr>
              <w:t>Presentations</w:t>
            </w:r>
          </w:p>
        </w:tc>
        <w:tc>
          <w:tcPr>
            <w:tcW w:w="748" w:type="dxa"/>
            <w:shd w:val="clear" w:color="auto" w:fill="D9D9D9" w:themeFill="background1" w:themeFillShade="D9"/>
            <w:textDirection w:val="btLr"/>
          </w:tcPr>
          <w:p w14:paraId="39D92216" w14:textId="77777777" w:rsidR="00DA0BD9" w:rsidRPr="00D87B18" w:rsidRDefault="00DA0BD9">
            <w:pPr>
              <w:ind w:left="113" w:right="113"/>
              <w:jc w:val="center"/>
              <w:rPr>
                <w:sz w:val="20"/>
                <w:szCs w:val="20"/>
              </w:rPr>
            </w:pPr>
            <w:r w:rsidRPr="00D87B18">
              <w:rPr>
                <w:sz w:val="20"/>
                <w:szCs w:val="20"/>
              </w:rPr>
              <w:t>Written Papers</w:t>
            </w:r>
          </w:p>
        </w:tc>
        <w:tc>
          <w:tcPr>
            <w:tcW w:w="689" w:type="dxa"/>
            <w:shd w:val="clear" w:color="auto" w:fill="D9D9D9" w:themeFill="background1" w:themeFillShade="D9"/>
            <w:textDirection w:val="btLr"/>
          </w:tcPr>
          <w:p w14:paraId="59FD7C3C" w14:textId="77777777" w:rsidR="00DA0BD9" w:rsidRPr="00D87B18" w:rsidRDefault="00DA0BD9">
            <w:pPr>
              <w:ind w:left="113" w:right="113"/>
              <w:jc w:val="center"/>
              <w:rPr>
                <w:sz w:val="20"/>
                <w:szCs w:val="20"/>
              </w:rPr>
            </w:pPr>
            <w:r w:rsidRPr="00D87B18">
              <w:rPr>
                <w:sz w:val="20"/>
                <w:szCs w:val="20"/>
              </w:rPr>
              <w:t>Group Projects</w:t>
            </w:r>
          </w:p>
        </w:tc>
        <w:tc>
          <w:tcPr>
            <w:tcW w:w="994" w:type="dxa"/>
            <w:shd w:val="clear" w:color="auto" w:fill="D9D9D9" w:themeFill="background1" w:themeFillShade="D9"/>
            <w:textDirection w:val="btLr"/>
          </w:tcPr>
          <w:p w14:paraId="6C93E642" w14:textId="77777777" w:rsidR="00DA0BD9" w:rsidRPr="00D87B18" w:rsidRDefault="00DA0BD9">
            <w:pPr>
              <w:ind w:left="113" w:right="113"/>
              <w:jc w:val="center"/>
              <w:rPr>
                <w:sz w:val="20"/>
                <w:szCs w:val="20"/>
              </w:rPr>
            </w:pPr>
            <w:r w:rsidRPr="00D87B18">
              <w:rPr>
                <w:sz w:val="20"/>
                <w:szCs w:val="20"/>
              </w:rPr>
              <w:t>Embedded Course-Level Assessments</w:t>
            </w:r>
          </w:p>
        </w:tc>
        <w:tc>
          <w:tcPr>
            <w:tcW w:w="748" w:type="dxa"/>
            <w:shd w:val="clear" w:color="auto" w:fill="D9D9D9" w:themeFill="background1" w:themeFillShade="D9"/>
            <w:textDirection w:val="btLr"/>
          </w:tcPr>
          <w:p w14:paraId="00F5515D" w14:textId="77777777" w:rsidR="00DA0BD9" w:rsidRPr="00D87B18" w:rsidRDefault="00DA0BD9">
            <w:pPr>
              <w:ind w:left="113" w:right="113"/>
              <w:jc w:val="center"/>
              <w:rPr>
                <w:sz w:val="20"/>
                <w:szCs w:val="20"/>
              </w:rPr>
            </w:pPr>
            <w:r w:rsidRPr="00D87B18">
              <w:rPr>
                <w:sz w:val="20"/>
                <w:szCs w:val="20"/>
              </w:rPr>
              <w:t>Grades</w:t>
            </w:r>
          </w:p>
        </w:tc>
        <w:tc>
          <w:tcPr>
            <w:tcW w:w="935" w:type="dxa"/>
            <w:shd w:val="clear" w:color="auto" w:fill="D9D9D9" w:themeFill="background1" w:themeFillShade="D9"/>
            <w:textDirection w:val="btLr"/>
          </w:tcPr>
          <w:p w14:paraId="5E3F191A" w14:textId="77777777" w:rsidR="00DA0BD9" w:rsidRPr="00D87B18" w:rsidRDefault="00DA0BD9">
            <w:pPr>
              <w:ind w:left="113" w:right="113"/>
              <w:jc w:val="center"/>
              <w:rPr>
                <w:sz w:val="20"/>
                <w:szCs w:val="20"/>
              </w:rPr>
            </w:pPr>
            <w:r w:rsidRPr="00D87B18">
              <w:rPr>
                <w:sz w:val="20"/>
                <w:szCs w:val="20"/>
              </w:rPr>
              <w:t>Com</w:t>
            </w:r>
            <w:r w:rsidR="00D4146F">
              <w:rPr>
                <w:sz w:val="20"/>
                <w:szCs w:val="20"/>
              </w:rPr>
              <w:t xml:space="preserve">prehensive </w:t>
            </w:r>
            <w:r w:rsidRPr="00D87B18">
              <w:rPr>
                <w:sz w:val="20"/>
                <w:szCs w:val="20"/>
              </w:rPr>
              <w:t xml:space="preserve">Exam </w:t>
            </w:r>
          </w:p>
        </w:tc>
      </w:tr>
      <w:tr w:rsidR="00DA0BD9" w:rsidRPr="00D87B18" w14:paraId="5860A6B9" w14:textId="77777777" w:rsidTr="001B79BB">
        <w:trPr>
          <w:trHeight w:val="820"/>
        </w:trPr>
        <w:tc>
          <w:tcPr>
            <w:tcW w:w="5295" w:type="dxa"/>
            <w:shd w:val="clear" w:color="auto" w:fill="D9D9D9" w:themeFill="background1" w:themeFillShade="D9"/>
          </w:tcPr>
          <w:p w14:paraId="29CBA30B" w14:textId="77777777" w:rsidR="00641647" w:rsidRPr="00D87B18" w:rsidRDefault="001F3F48" w:rsidP="00BE7A88">
            <w:pPr>
              <w:numPr>
                <w:ilvl w:val="0"/>
                <w:numId w:val="4"/>
              </w:numPr>
              <w:tabs>
                <w:tab w:val="clear" w:pos="1440"/>
                <w:tab w:val="num" w:pos="581"/>
              </w:tabs>
              <w:ind w:left="581" w:hanging="374"/>
              <w:rPr>
                <w:sz w:val="20"/>
                <w:szCs w:val="20"/>
              </w:rPr>
            </w:pPr>
            <w:r w:rsidRPr="00D87B18">
              <w:rPr>
                <w:sz w:val="20"/>
                <w:szCs w:val="20"/>
              </w:rPr>
              <w:t>Leadership and Decision Making</w:t>
            </w:r>
          </w:p>
        </w:tc>
        <w:tc>
          <w:tcPr>
            <w:tcW w:w="938" w:type="dxa"/>
          </w:tcPr>
          <w:p w14:paraId="043AA90D" w14:textId="77777777" w:rsidR="00DA0BD9" w:rsidRPr="00D87B18" w:rsidRDefault="00DA0BD9" w:rsidP="000A41AA">
            <w:pPr>
              <w:jc w:val="center"/>
              <w:rPr>
                <w:sz w:val="20"/>
                <w:szCs w:val="20"/>
              </w:rPr>
            </w:pPr>
            <w:r w:rsidRPr="00D87B18">
              <w:rPr>
                <w:sz w:val="20"/>
                <w:szCs w:val="20"/>
              </w:rPr>
              <w:t>√</w:t>
            </w:r>
          </w:p>
        </w:tc>
        <w:tc>
          <w:tcPr>
            <w:tcW w:w="748" w:type="dxa"/>
          </w:tcPr>
          <w:p w14:paraId="59741935" w14:textId="77777777" w:rsidR="00DA0BD9" w:rsidRPr="00D87B18" w:rsidRDefault="00DA0BD9" w:rsidP="000A41AA">
            <w:pPr>
              <w:jc w:val="center"/>
              <w:rPr>
                <w:sz w:val="20"/>
                <w:szCs w:val="20"/>
              </w:rPr>
            </w:pPr>
            <w:r w:rsidRPr="00D87B18">
              <w:rPr>
                <w:sz w:val="20"/>
                <w:szCs w:val="20"/>
              </w:rPr>
              <w:t>√</w:t>
            </w:r>
          </w:p>
        </w:tc>
        <w:tc>
          <w:tcPr>
            <w:tcW w:w="689" w:type="dxa"/>
          </w:tcPr>
          <w:p w14:paraId="55F7FD04" w14:textId="77777777" w:rsidR="00DA0BD9" w:rsidRPr="00D87B18" w:rsidRDefault="00152678" w:rsidP="000A41AA">
            <w:pPr>
              <w:jc w:val="center"/>
              <w:rPr>
                <w:sz w:val="20"/>
                <w:szCs w:val="20"/>
              </w:rPr>
            </w:pPr>
            <w:r w:rsidRPr="00D87B18">
              <w:rPr>
                <w:sz w:val="20"/>
                <w:szCs w:val="20"/>
              </w:rPr>
              <w:t>√</w:t>
            </w:r>
          </w:p>
        </w:tc>
        <w:tc>
          <w:tcPr>
            <w:tcW w:w="994" w:type="dxa"/>
          </w:tcPr>
          <w:p w14:paraId="25B25879" w14:textId="77777777" w:rsidR="00DA0BD9" w:rsidRPr="00D87B18" w:rsidRDefault="00DA0BD9" w:rsidP="000A41AA">
            <w:pPr>
              <w:jc w:val="center"/>
              <w:rPr>
                <w:sz w:val="20"/>
                <w:szCs w:val="20"/>
              </w:rPr>
            </w:pPr>
            <w:r w:rsidRPr="00D87B18">
              <w:rPr>
                <w:sz w:val="20"/>
                <w:szCs w:val="20"/>
              </w:rPr>
              <w:t>√</w:t>
            </w:r>
          </w:p>
        </w:tc>
        <w:tc>
          <w:tcPr>
            <w:tcW w:w="748" w:type="dxa"/>
          </w:tcPr>
          <w:p w14:paraId="45F8E183" w14:textId="77777777" w:rsidR="00DA0BD9" w:rsidRPr="00D87B18" w:rsidRDefault="00DA0BD9" w:rsidP="000A41AA">
            <w:pPr>
              <w:jc w:val="center"/>
              <w:rPr>
                <w:sz w:val="20"/>
                <w:szCs w:val="20"/>
              </w:rPr>
            </w:pPr>
            <w:r w:rsidRPr="00D87B18">
              <w:rPr>
                <w:sz w:val="20"/>
                <w:szCs w:val="20"/>
              </w:rPr>
              <w:t>~</w:t>
            </w:r>
          </w:p>
        </w:tc>
        <w:tc>
          <w:tcPr>
            <w:tcW w:w="935" w:type="dxa"/>
          </w:tcPr>
          <w:p w14:paraId="77F04A55" w14:textId="77777777" w:rsidR="00DA0BD9" w:rsidRPr="00D87B18" w:rsidRDefault="00DA0BD9" w:rsidP="000A41AA">
            <w:pPr>
              <w:jc w:val="center"/>
              <w:rPr>
                <w:sz w:val="20"/>
                <w:szCs w:val="20"/>
              </w:rPr>
            </w:pPr>
            <w:r w:rsidRPr="00D87B18">
              <w:rPr>
                <w:sz w:val="20"/>
                <w:szCs w:val="20"/>
              </w:rPr>
              <w:t>~</w:t>
            </w:r>
          </w:p>
        </w:tc>
      </w:tr>
      <w:tr w:rsidR="00DA0BD9" w:rsidRPr="00D87B18" w14:paraId="6268C4EF" w14:textId="77777777" w:rsidTr="001B79BB">
        <w:trPr>
          <w:trHeight w:val="820"/>
        </w:trPr>
        <w:tc>
          <w:tcPr>
            <w:tcW w:w="5295" w:type="dxa"/>
            <w:shd w:val="clear" w:color="auto" w:fill="D9D9D9" w:themeFill="background1" w:themeFillShade="D9"/>
          </w:tcPr>
          <w:p w14:paraId="0EE8ED30" w14:textId="77777777" w:rsidR="00DA0BD9" w:rsidRPr="00D87B18" w:rsidRDefault="001F3F48" w:rsidP="00BE7A88">
            <w:pPr>
              <w:numPr>
                <w:ilvl w:val="0"/>
                <w:numId w:val="4"/>
              </w:numPr>
              <w:tabs>
                <w:tab w:val="clear" w:pos="1440"/>
                <w:tab w:val="num" w:pos="581"/>
              </w:tabs>
              <w:ind w:left="581" w:hanging="374"/>
              <w:rPr>
                <w:sz w:val="20"/>
                <w:szCs w:val="20"/>
              </w:rPr>
            </w:pPr>
            <w:r w:rsidRPr="00D87B18">
              <w:rPr>
                <w:sz w:val="20"/>
                <w:szCs w:val="20"/>
              </w:rPr>
              <w:t>Communication</w:t>
            </w:r>
          </w:p>
        </w:tc>
        <w:tc>
          <w:tcPr>
            <w:tcW w:w="938" w:type="dxa"/>
          </w:tcPr>
          <w:p w14:paraId="18E00615" w14:textId="77777777" w:rsidR="00DA0BD9" w:rsidRPr="00D87B18" w:rsidRDefault="00DA0BD9" w:rsidP="000A41AA">
            <w:pPr>
              <w:jc w:val="center"/>
              <w:rPr>
                <w:sz w:val="20"/>
                <w:szCs w:val="20"/>
              </w:rPr>
            </w:pPr>
            <w:r w:rsidRPr="00D87B18">
              <w:rPr>
                <w:sz w:val="20"/>
                <w:szCs w:val="20"/>
              </w:rPr>
              <w:t>√</w:t>
            </w:r>
          </w:p>
        </w:tc>
        <w:tc>
          <w:tcPr>
            <w:tcW w:w="748" w:type="dxa"/>
          </w:tcPr>
          <w:p w14:paraId="65561D95" w14:textId="77777777" w:rsidR="00DA0BD9" w:rsidRPr="00D87B18" w:rsidRDefault="00DA0BD9" w:rsidP="000A41AA">
            <w:pPr>
              <w:jc w:val="center"/>
              <w:rPr>
                <w:sz w:val="20"/>
                <w:szCs w:val="20"/>
              </w:rPr>
            </w:pPr>
            <w:r w:rsidRPr="00D87B18">
              <w:rPr>
                <w:sz w:val="20"/>
                <w:szCs w:val="20"/>
              </w:rPr>
              <w:t>√</w:t>
            </w:r>
          </w:p>
        </w:tc>
        <w:tc>
          <w:tcPr>
            <w:tcW w:w="689" w:type="dxa"/>
          </w:tcPr>
          <w:p w14:paraId="33B9C1AF" w14:textId="77777777" w:rsidR="00DA0BD9" w:rsidRPr="00D87B18" w:rsidRDefault="00DA0BD9" w:rsidP="000A41AA">
            <w:pPr>
              <w:jc w:val="center"/>
              <w:rPr>
                <w:sz w:val="20"/>
                <w:szCs w:val="20"/>
              </w:rPr>
            </w:pPr>
            <w:r w:rsidRPr="00D87B18">
              <w:rPr>
                <w:sz w:val="20"/>
                <w:szCs w:val="20"/>
              </w:rPr>
              <w:t>√</w:t>
            </w:r>
          </w:p>
        </w:tc>
        <w:tc>
          <w:tcPr>
            <w:tcW w:w="994" w:type="dxa"/>
          </w:tcPr>
          <w:p w14:paraId="78482745" w14:textId="77777777" w:rsidR="00DA0BD9" w:rsidRPr="00D87B18" w:rsidRDefault="00152678" w:rsidP="000A41AA">
            <w:pPr>
              <w:jc w:val="center"/>
              <w:rPr>
                <w:sz w:val="20"/>
                <w:szCs w:val="20"/>
              </w:rPr>
            </w:pPr>
            <w:r w:rsidRPr="00D87B18">
              <w:rPr>
                <w:sz w:val="20"/>
                <w:szCs w:val="20"/>
              </w:rPr>
              <w:t>√</w:t>
            </w:r>
          </w:p>
        </w:tc>
        <w:tc>
          <w:tcPr>
            <w:tcW w:w="748" w:type="dxa"/>
          </w:tcPr>
          <w:p w14:paraId="031773F6" w14:textId="77777777" w:rsidR="00DA0BD9" w:rsidRPr="00D87B18" w:rsidRDefault="00DA0BD9" w:rsidP="000A41AA">
            <w:pPr>
              <w:jc w:val="center"/>
              <w:rPr>
                <w:sz w:val="20"/>
                <w:szCs w:val="20"/>
              </w:rPr>
            </w:pPr>
            <w:r w:rsidRPr="00D87B18">
              <w:rPr>
                <w:sz w:val="20"/>
                <w:szCs w:val="20"/>
              </w:rPr>
              <w:t>~</w:t>
            </w:r>
          </w:p>
        </w:tc>
        <w:tc>
          <w:tcPr>
            <w:tcW w:w="935" w:type="dxa"/>
          </w:tcPr>
          <w:p w14:paraId="35C85B71" w14:textId="77777777" w:rsidR="00DA0BD9" w:rsidRPr="00D87B18" w:rsidRDefault="00152678" w:rsidP="000A41AA">
            <w:pPr>
              <w:jc w:val="center"/>
              <w:rPr>
                <w:sz w:val="20"/>
                <w:szCs w:val="20"/>
              </w:rPr>
            </w:pPr>
            <w:r w:rsidRPr="00D87B18">
              <w:rPr>
                <w:sz w:val="20"/>
                <w:szCs w:val="20"/>
              </w:rPr>
              <w:t>√</w:t>
            </w:r>
          </w:p>
        </w:tc>
      </w:tr>
      <w:tr w:rsidR="00DA0BD9" w:rsidRPr="00D87B18" w14:paraId="62670F3A" w14:textId="77777777" w:rsidTr="001B79BB">
        <w:trPr>
          <w:trHeight w:val="820"/>
        </w:trPr>
        <w:tc>
          <w:tcPr>
            <w:tcW w:w="5295" w:type="dxa"/>
            <w:shd w:val="clear" w:color="auto" w:fill="D9D9D9" w:themeFill="background1" w:themeFillShade="D9"/>
          </w:tcPr>
          <w:p w14:paraId="6857EF38" w14:textId="77777777" w:rsidR="00DA0BD9" w:rsidRPr="00D87B18" w:rsidRDefault="001F3F48" w:rsidP="00BE7A88">
            <w:pPr>
              <w:numPr>
                <w:ilvl w:val="0"/>
                <w:numId w:val="4"/>
              </w:numPr>
              <w:tabs>
                <w:tab w:val="clear" w:pos="1440"/>
                <w:tab w:val="num" w:pos="581"/>
              </w:tabs>
              <w:ind w:left="581" w:hanging="374"/>
              <w:rPr>
                <w:sz w:val="20"/>
                <w:szCs w:val="20"/>
              </w:rPr>
            </w:pPr>
            <w:r w:rsidRPr="00D87B18">
              <w:rPr>
                <w:sz w:val="20"/>
                <w:szCs w:val="20"/>
              </w:rPr>
              <w:t>Awareness of the values and tradeoffs in public service, including sustainability, citizen engagement, democratic values, transparency…</w:t>
            </w:r>
            <w:r w:rsidRPr="00D87B18">
              <w:rPr>
                <w:sz w:val="20"/>
                <w:szCs w:val="20"/>
              </w:rPr>
              <w:br/>
            </w:r>
          </w:p>
        </w:tc>
        <w:tc>
          <w:tcPr>
            <w:tcW w:w="938" w:type="dxa"/>
          </w:tcPr>
          <w:p w14:paraId="108134DA" w14:textId="77777777" w:rsidR="00DA0BD9" w:rsidRPr="00D87B18" w:rsidRDefault="00152678" w:rsidP="000A41AA">
            <w:pPr>
              <w:jc w:val="center"/>
              <w:rPr>
                <w:sz w:val="20"/>
                <w:szCs w:val="20"/>
              </w:rPr>
            </w:pPr>
            <w:r w:rsidRPr="00D87B18">
              <w:rPr>
                <w:sz w:val="20"/>
                <w:szCs w:val="20"/>
              </w:rPr>
              <w:t>√</w:t>
            </w:r>
          </w:p>
        </w:tc>
        <w:tc>
          <w:tcPr>
            <w:tcW w:w="748" w:type="dxa"/>
          </w:tcPr>
          <w:p w14:paraId="47D54C30" w14:textId="77777777" w:rsidR="00DA0BD9" w:rsidRPr="00D87B18" w:rsidRDefault="00DA0BD9" w:rsidP="000A41AA">
            <w:pPr>
              <w:jc w:val="center"/>
              <w:rPr>
                <w:sz w:val="20"/>
                <w:szCs w:val="20"/>
              </w:rPr>
            </w:pPr>
            <w:r w:rsidRPr="00D87B18">
              <w:rPr>
                <w:sz w:val="20"/>
                <w:szCs w:val="20"/>
              </w:rPr>
              <w:t>√</w:t>
            </w:r>
          </w:p>
        </w:tc>
        <w:tc>
          <w:tcPr>
            <w:tcW w:w="689" w:type="dxa"/>
          </w:tcPr>
          <w:p w14:paraId="5CD8A1BB" w14:textId="77777777" w:rsidR="00DA0BD9" w:rsidRPr="00D87B18" w:rsidRDefault="00DA0BD9" w:rsidP="000A41AA">
            <w:pPr>
              <w:jc w:val="center"/>
              <w:rPr>
                <w:sz w:val="20"/>
                <w:szCs w:val="20"/>
              </w:rPr>
            </w:pPr>
            <w:r w:rsidRPr="00D87B18">
              <w:rPr>
                <w:sz w:val="20"/>
                <w:szCs w:val="20"/>
              </w:rPr>
              <w:t>√</w:t>
            </w:r>
          </w:p>
        </w:tc>
        <w:tc>
          <w:tcPr>
            <w:tcW w:w="994" w:type="dxa"/>
          </w:tcPr>
          <w:p w14:paraId="7DC16A08" w14:textId="77777777" w:rsidR="00DA0BD9" w:rsidRPr="00D87B18" w:rsidRDefault="00DA0BD9" w:rsidP="000A41AA">
            <w:pPr>
              <w:jc w:val="center"/>
              <w:rPr>
                <w:sz w:val="20"/>
                <w:szCs w:val="20"/>
              </w:rPr>
            </w:pPr>
            <w:r w:rsidRPr="00D87B18">
              <w:rPr>
                <w:sz w:val="20"/>
                <w:szCs w:val="20"/>
              </w:rPr>
              <w:t>√</w:t>
            </w:r>
          </w:p>
        </w:tc>
        <w:tc>
          <w:tcPr>
            <w:tcW w:w="748" w:type="dxa"/>
          </w:tcPr>
          <w:p w14:paraId="000DB2B7" w14:textId="77777777" w:rsidR="00DA0BD9" w:rsidRPr="00D87B18" w:rsidRDefault="00DA0BD9" w:rsidP="000A41AA">
            <w:pPr>
              <w:jc w:val="center"/>
              <w:rPr>
                <w:sz w:val="20"/>
                <w:szCs w:val="20"/>
              </w:rPr>
            </w:pPr>
            <w:r w:rsidRPr="00D87B18">
              <w:rPr>
                <w:sz w:val="20"/>
                <w:szCs w:val="20"/>
              </w:rPr>
              <w:t>√</w:t>
            </w:r>
          </w:p>
        </w:tc>
        <w:tc>
          <w:tcPr>
            <w:tcW w:w="935" w:type="dxa"/>
          </w:tcPr>
          <w:p w14:paraId="288DC90F" w14:textId="77777777" w:rsidR="00DA0BD9" w:rsidRPr="00D87B18" w:rsidRDefault="00152678" w:rsidP="000A41AA">
            <w:pPr>
              <w:jc w:val="center"/>
              <w:rPr>
                <w:sz w:val="20"/>
                <w:szCs w:val="20"/>
              </w:rPr>
            </w:pPr>
            <w:r w:rsidRPr="00D87B18">
              <w:rPr>
                <w:sz w:val="20"/>
                <w:szCs w:val="20"/>
              </w:rPr>
              <w:t>√</w:t>
            </w:r>
          </w:p>
        </w:tc>
      </w:tr>
      <w:tr w:rsidR="00DA0BD9" w:rsidRPr="00D87B18" w14:paraId="7AAB0D5D" w14:textId="77777777" w:rsidTr="001B79BB">
        <w:trPr>
          <w:trHeight w:val="820"/>
        </w:trPr>
        <w:tc>
          <w:tcPr>
            <w:tcW w:w="5295" w:type="dxa"/>
            <w:shd w:val="clear" w:color="auto" w:fill="D9D9D9" w:themeFill="background1" w:themeFillShade="D9"/>
          </w:tcPr>
          <w:p w14:paraId="26C01630" w14:textId="77777777" w:rsidR="00DA0BD9" w:rsidRPr="00D87B18" w:rsidRDefault="001F3F48" w:rsidP="00BE7A88">
            <w:pPr>
              <w:numPr>
                <w:ilvl w:val="0"/>
                <w:numId w:val="4"/>
              </w:numPr>
              <w:tabs>
                <w:tab w:val="clear" w:pos="1440"/>
                <w:tab w:val="num" w:pos="581"/>
              </w:tabs>
              <w:ind w:left="581" w:hanging="374"/>
              <w:rPr>
                <w:sz w:val="20"/>
                <w:szCs w:val="20"/>
              </w:rPr>
            </w:pPr>
            <w:r w:rsidRPr="00D87B18">
              <w:rPr>
                <w:sz w:val="20"/>
                <w:szCs w:val="20"/>
              </w:rPr>
              <w:t>Role of financial, human, information, technology, and other resources</w:t>
            </w:r>
          </w:p>
        </w:tc>
        <w:tc>
          <w:tcPr>
            <w:tcW w:w="938" w:type="dxa"/>
          </w:tcPr>
          <w:p w14:paraId="321FFB6A" w14:textId="77777777" w:rsidR="00DA0BD9" w:rsidRPr="00D87B18" w:rsidRDefault="00DA0BD9" w:rsidP="000A41AA">
            <w:pPr>
              <w:jc w:val="center"/>
              <w:rPr>
                <w:sz w:val="20"/>
                <w:szCs w:val="20"/>
              </w:rPr>
            </w:pPr>
            <w:r w:rsidRPr="00D87B18">
              <w:rPr>
                <w:sz w:val="20"/>
                <w:szCs w:val="20"/>
              </w:rPr>
              <w:t>~</w:t>
            </w:r>
          </w:p>
        </w:tc>
        <w:tc>
          <w:tcPr>
            <w:tcW w:w="748" w:type="dxa"/>
          </w:tcPr>
          <w:p w14:paraId="0FFCF265" w14:textId="77777777" w:rsidR="00DA0BD9" w:rsidRPr="00D87B18" w:rsidRDefault="00152678" w:rsidP="000A41AA">
            <w:pPr>
              <w:jc w:val="center"/>
              <w:rPr>
                <w:sz w:val="20"/>
                <w:szCs w:val="20"/>
              </w:rPr>
            </w:pPr>
            <w:r w:rsidRPr="00D87B18">
              <w:rPr>
                <w:sz w:val="20"/>
                <w:szCs w:val="20"/>
              </w:rPr>
              <w:t>√</w:t>
            </w:r>
          </w:p>
        </w:tc>
        <w:tc>
          <w:tcPr>
            <w:tcW w:w="689" w:type="dxa"/>
          </w:tcPr>
          <w:p w14:paraId="75EBBAD8" w14:textId="77777777" w:rsidR="00DA0BD9" w:rsidRPr="00D87B18" w:rsidRDefault="00152678" w:rsidP="000A41AA">
            <w:pPr>
              <w:jc w:val="center"/>
              <w:rPr>
                <w:sz w:val="20"/>
                <w:szCs w:val="20"/>
              </w:rPr>
            </w:pPr>
            <w:r w:rsidRPr="00D87B18">
              <w:rPr>
                <w:sz w:val="20"/>
                <w:szCs w:val="20"/>
              </w:rPr>
              <w:t>~</w:t>
            </w:r>
          </w:p>
        </w:tc>
        <w:tc>
          <w:tcPr>
            <w:tcW w:w="994" w:type="dxa"/>
          </w:tcPr>
          <w:p w14:paraId="6F6BEC79" w14:textId="77777777" w:rsidR="00DA0BD9" w:rsidRPr="00D87B18" w:rsidRDefault="00DA0BD9" w:rsidP="000A41AA">
            <w:pPr>
              <w:jc w:val="center"/>
              <w:rPr>
                <w:sz w:val="20"/>
                <w:szCs w:val="20"/>
              </w:rPr>
            </w:pPr>
            <w:r w:rsidRPr="00D87B18">
              <w:rPr>
                <w:sz w:val="20"/>
                <w:szCs w:val="20"/>
              </w:rPr>
              <w:t>√</w:t>
            </w:r>
          </w:p>
        </w:tc>
        <w:tc>
          <w:tcPr>
            <w:tcW w:w="748" w:type="dxa"/>
          </w:tcPr>
          <w:p w14:paraId="1A5BCF7A" w14:textId="77777777" w:rsidR="00DA0BD9" w:rsidRPr="00D87B18" w:rsidRDefault="00152678" w:rsidP="000A41AA">
            <w:pPr>
              <w:jc w:val="center"/>
              <w:rPr>
                <w:sz w:val="20"/>
                <w:szCs w:val="20"/>
              </w:rPr>
            </w:pPr>
            <w:r w:rsidRPr="00D87B18">
              <w:rPr>
                <w:sz w:val="20"/>
                <w:szCs w:val="20"/>
              </w:rPr>
              <w:t>√</w:t>
            </w:r>
          </w:p>
        </w:tc>
        <w:tc>
          <w:tcPr>
            <w:tcW w:w="935" w:type="dxa"/>
          </w:tcPr>
          <w:p w14:paraId="4F3335FD" w14:textId="77777777" w:rsidR="00DA0BD9" w:rsidRPr="00D87B18" w:rsidRDefault="00152678" w:rsidP="000A41AA">
            <w:pPr>
              <w:jc w:val="center"/>
              <w:rPr>
                <w:sz w:val="20"/>
                <w:szCs w:val="20"/>
              </w:rPr>
            </w:pPr>
            <w:r w:rsidRPr="00D87B18">
              <w:rPr>
                <w:sz w:val="20"/>
                <w:szCs w:val="20"/>
              </w:rPr>
              <w:t>√</w:t>
            </w:r>
          </w:p>
        </w:tc>
      </w:tr>
      <w:tr w:rsidR="00DA0BD9" w:rsidRPr="00D87B18" w14:paraId="0FB78FDD" w14:textId="77777777" w:rsidTr="001B79BB">
        <w:trPr>
          <w:trHeight w:val="820"/>
        </w:trPr>
        <w:tc>
          <w:tcPr>
            <w:tcW w:w="5295" w:type="dxa"/>
            <w:shd w:val="clear" w:color="auto" w:fill="D9D9D9" w:themeFill="background1" w:themeFillShade="D9"/>
          </w:tcPr>
          <w:p w14:paraId="0F2C9C8D" w14:textId="77777777" w:rsidR="00DA0BD9" w:rsidRPr="00D87B18" w:rsidRDefault="001F3F48" w:rsidP="00BE7A88">
            <w:pPr>
              <w:numPr>
                <w:ilvl w:val="0"/>
                <w:numId w:val="4"/>
              </w:numPr>
              <w:tabs>
                <w:tab w:val="clear" w:pos="1440"/>
                <w:tab w:val="num" w:pos="581"/>
              </w:tabs>
              <w:ind w:left="581" w:hanging="374"/>
              <w:rPr>
                <w:sz w:val="20"/>
                <w:szCs w:val="20"/>
              </w:rPr>
            </w:pPr>
            <w:r w:rsidRPr="00D87B18">
              <w:rPr>
                <w:sz w:val="20"/>
                <w:szCs w:val="20"/>
              </w:rPr>
              <w:t>Knowledge of the policy process, including assessment</w:t>
            </w:r>
          </w:p>
        </w:tc>
        <w:tc>
          <w:tcPr>
            <w:tcW w:w="938" w:type="dxa"/>
          </w:tcPr>
          <w:p w14:paraId="3D7E9920" w14:textId="77777777" w:rsidR="00DA0BD9" w:rsidRPr="00D87B18" w:rsidRDefault="00152678" w:rsidP="000A41AA">
            <w:pPr>
              <w:jc w:val="center"/>
              <w:rPr>
                <w:sz w:val="20"/>
                <w:szCs w:val="20"/>
              </w:rPr>
            </w:pPr>
            <w:r w:rsidRPr="00D87B18">
              <w:rPr>
                <w:sz w:val="20"/>
                <w:szCs w:val="20"/>
              </w:rPr>
              <w:t>√</w:t>
            </w:r>
          </w:p>
        </w:tc>
        <w:tc>
          <w:tcPr>
            <w:tcW w:w="748" w:type="dxa"/>
          </w:tcPr>
          <w:p w14:paraId="3CC53A8A" w14:textId="77777777" w:rsidR="00DA0BD9" w:rsidRPr="00D87B18" w:rsidRDefault="00DA0BD9" w:rsidP="000A41AA">
            <w:pPr>
              <w:jc w:val="center"/>
              <w:rPr>
                <w:sz w:val="20"/>
                <w:szCs w:val="20"/>
              </w:rPr>
            </w:pPr>
            <w:r w:rsidRPr="00D87B18">
              <w:rPr>
                <w:sz w:val="20"/>
                <w:szCs w:val="20"/>
              </w:rPr>
              <w:t>√</w:t>
            </w:r>
          </w:p>
        </w:tc>
        <w:tc>
          <w:tcPr>
            <w:tcW w:w="689" w:type="dxa"/>
          </w:tcPr>
          <w:p w14:paraId="756398C5" w14:textId="77777777" w:rsidR="00DA0BD9" w:rsidRPr="00D87B18" w:rsidRDefault="00DA0BD9" w:rsidP="000A41AA">
            <w:pPr>
              <w:jc w:val="center"/>
              <w:rPr>
                <w:sz w:val="20"/>
                <w:szCs w:val="20"/>
              </w:rPr>
            </w:pPr>
            <w:r w:rsidRPr="00D87B18">
              <w:rPr>
                <w:sz w:val="20"/>
                <w:szCs w:val="20"/>
              </w:rPr>
              <w:t>√</w:t>
            </w:r>
          </w:p>
        </w:tc>
        <w:tc>
          <w:tcPr>
            <w:tcW w:w="994" w:type="dxa"/>
          </w:tcPr>
          <w:p w14:paraId="08E8B934" w14:textId="77777777" w:rsidR="00DA0BD9" w:rsidRPr="00D87B18" w:rsidRDefault="00DA0BD9" w:rsidP="000A41AA">
            <w:pPr>
              <w:jc w:val="center"/>
              <w:rPr>
                <w:sz w:val="20"/>
                <w:szCs w:val="20"/>
              </w:rPr>
            </w:pPr>
            <w:r w:rsidRPr="00D87B18">
              <w:rPr>
                <w:sz w:val="20"/>
                <w:szCs w:val="20"/>
              </w:rPr>
              <w:t>√</w:t>
            </w:r>
          </w:p>
        </w:tc>
        <w:tc>
          <w:tcPr>
            <w:tcW w:w="748" w:type="dxa"/>
          </w:tcPr>
          <w:p w14:paraId="6315A846" w14:textId="77777777" w:rsidR="00DA0BD9" w:rsidRPr="00D87B18" w:rsidRDefault="00DA0BD9" w:rsidP="000A41AA">
            <w:pPr>
              <w:jc w:val="center"/>
              <w:rPr>
                <w:sz w:val="20"/>
                <w:szCs w:val="20"/>
              </w:rPr>
            </w:pPr>
            <w:r w:rsidRPr="00D87B18">
              <w:rPr>
                <w:sz w:val="20"/>
                <w:szCs w:val="20"/>
              </w:rPr>
              <w:t>~</w:t>
            </w:r>
          </w:p>
        </w:tc>
        <w:tc>
          <w:tcPr>
            <w:tcW w:w="935" w:type="dxa"/>
          </w:tcPr>
          <w:p w14:paraId="50E581F6" w14:textId="77777777" w:rsidR="00DA0BD9" w:rsidRPr="00D87B18" w:rsidRDefault="00152678" w:rsidP="000A41AA">
            <w:pPr>
              <w:jc w:val="center"/>
              <w:rPr>
                <w:sz w:val="20"/>
                <w:szCs w:val="20"/>
              </w:rPr>
            </w:pPr>
            <w:r w:rsidRPr="00D87B18">
              <w:rPr>
                <w:sz w:val="20"/>
                <w:szCs w:val="20"/>
              </w:rPr>
              <w:t>√</w:t>
            </w:r>
          </w:p>
        </w:tc>
      </w:tr>
      <w:tr w:rsidR="00DA0BD9" w:rsidRPr="00D87B18" w14:paraId="2538F1B0" w14:textId="77777777" w:rsidTr="001B79BB">
        <w:trPr>
          <w:trHeight w:val="820"/>
        </w:trPr>
        <w:tc>
          <w:tcPr>
            <w:tcW w:w="5295" w:type="dxa"/>
            <w:shd w:val="clear" w:color="auto" w:fill="D9D9D9" w:themeFill="background1" w:themeFillShade="D9"/>
          </w:tcPr>
          <w:p w14:paraId="1016CE6E" w14:textId="77777777" w:rsidR="00DA0BD9" w:rsidRPr="00D87B18" w:rsidRDefault="001F3F48" w:rsidP="00BE7A88">
            <w:pPr>
              <w:numPr>
                <w:ilvl w:val="0"/>
                <w:numId w:val="4"/>
              </w:numPr>
              <w:tabs>
                <w:tab w:val="clear" w:pos="1440"/>
                <w:tab w:val="num" w:pos="581"/>
              </w:tabs>
              <w:ind w:left="581" w:hanging="374"/>
              <w:rPr>
                <w:sz w:val="20"/>
                <w:szCs w:val="20"/>
              </w:rPr>
            </w:pPr>
            <w:r w:rsidRPr="00D87B18">
              <w:rPr>
                <w:sz w:val="20"/>
                <w:szCs w:val="20"/>
              </w:rPr>
              <w:t>Problem-solving, including the use of evidence.</w:t>
            </w:r>
          </w:p>
        </w:tc>
        <w:tc>
          <w:tcPr>
            <w:tcW w:w="938" w:type="dxa"/>
          </w:tcPr>
          <w:p w14:paraId="55FA0DD4" w14:textId="77777777" w:rsidR="00DA0BD9" w:rsidRPr="00D87B18" w:rsidRDefault="00DA0BD9" w:rsidP="000A41AA">
            <w:pPr>
              <w:jc w:val="center"/>
              <w:rPr>
                <w:sz w:val="20"/>
                <w:szCs w:val="20"/>
              </w:rPr>
            </w:pPr>
            <w:r w:rsidRPr="00D87B18">
              <w:rPr>
                <w:sz w:val="20"/>
                <w:szCs w:val="20"/>
              </w:rPr>
              <w:t>√</w:t>
            </w:r>
          </w:p>
        </w:tc>
        <w:tc>
          <w:tcPr>
            <w:tcW w:w="748" w:type="dxa"/>
          </w:tcPr>
          <w:p w14:paraId="74F15CDF" w14:textId="77777777" w:rsidR="00DA0BD9" w:rsidRPr="00D87B18" w:rsidRDefault="00152678" w:rsidP="000A41AA">
            <w:pPr>
              <w:jc w:val="center"/>
              <w:rPr>
                <w:sz w:val="20"/>
                <w:szCs w:val="20"/>
              </w:rPr>
            </w:pPr>
            <w:r w:rsidRPr="00D87B18">
              <w:rPr>
                <w:sz w:val="20"/>
                <w:szCs w:val="20"/>
              </w:rPr>
              <w:t>√</w:t>
            </w:r>
          </w:p>
        </w:tc>
        <w:tc>
          <w:tcPr>
            <w:tcW w:w="689" w:type="dxa"/>
          </w:tcPr>
          <w:p w14:paraId="6A84D590" w14:textId="77777777" w:rsidR="00DA0BD9" w:rsidRPr="00D87B18" w:rsidRDefault="00152678" w:rsidP="000A41AA">
            <w:pPr>
              <w:jc w:val="center"/>
              <w:rPr>
                <w:sz w:val="20"/>
                <w:szCs w:val="20"/>
              </w:rPr>
            </w:pPr>
            <w:r w:rsidRPr="00D87B18">
              <w:rPr>
                <w:sz w:val="20"/>
                <w:szCs w:val="20"/>
              </w:rPr>
              <w:t>√</w:t>
            </w:r>
          </w:p>
        </w:tc>
        <w:tc>
          <w:tcPr>
            <w:tcW w:w="994" w:type="dxa"/>
          </w:tcPr>
          <w:p w14:paraId="0501ED94" w14:textId="77777777" w:rsidR="00DA0BD9" w:rsidRPr="00D87B18" w:rsidRDefault="00152678" w:rsidP="000A41AA">
            <w:pPr>
              <w:jc w:val="center"/>
              <w:rPr>
                <w:sz w:val="20"/>
                <w:szCs w:val="20"/>
              </w:rPr>
            </w:pPr>
            <w:r w:rsidRPr="00D87B18">
              <w:rPr>
                <w:sz w:val="20"/>
                <w:szCs w:val="20"/>
              </w:rPr>
              <w:t>√</w:t>
            </w:r>
          </w:p>
        </w:tc>
        <w:tc>
          <w:tcPr>
            <w:tcW w:w="748" w:type="dxa"/>
          </w:tcPr>
          <w:p w14:paraId="3603E856" w14:textId="77777777" w:rsidR="00DA0BD9" w:rsidRPr="00D87B18" w:rsidRDefault="00DA0BD9" w:rsidP="000A41AA">
            <w:pPr>
              <w:jc w:val="center"/>
              <w:rPr>
                <w:sz w:val="20"/>
                <w:szCs w:val="20"/>
              </w:rPr>
            </w:pPr>
            <w:r w:rsidRPr="00D87B18">
              <w:rPr>
                <w:sz w:val="20"/>
                <w:szCs w:val="20"/>
              </w:rPr>
              <w:t>~</w:t>
            </w:r>
          </w:p>
        </w:tc>
        <w:tc>
          <w:tcPr>
            <w:tcW w:w="935" w:type="dxa"/>
          </w:tcPr>
          <w:p w14:paraId="4EF4ED1B" w14:textId="77777777" w:rsidR="00DA0BD9" w:rsidRPr="00D87B18" w:rsidRDefault="00DA0BD9" w:rsidP="000A41AA">
            <w:pPr>
              <w:jc w:val="center"/>
              <w:rPr>
                <w:sz w:val="20"/>
                <w:szCs w:val="20"/>
              </w:rPr>
            </w:pPr>
            <w:r w:rsidRPr="00D87B18">
              <w:rPr>
                <w:sz w:val="20"/>
                <w:szCs w:val="20"/>
              </w:rPr>
              <w:t>√</w:t>
            </w:r>
          </w:p>
        </w:tc>
      </w:tr>
      <w:tr w:rsidR="004E3B14" w:rsidRPr="00D87B18" w14:paraId="18ADAFCD" w14:textId="77777777" w:rsidTr="001B79BB">
        <w:trPr>
          <w:trHeight w:val="820"/>
        </w:trPr>
        <w:tc>
          <w:tcPr>
            <w:tcW w:w="5295" w:type="dxa"/>
            <w:shd w:val="clear" w:color="auto" w:fill="D9D9D9" w:themeFill="background1" w:themeFillShade="D9"/>
          </w:tcPr>
          <w:p w14:paraId="149CAE5A" w14:textId="77777777" w:rsidR="004E3B14" w:rsidRPr="00D87B18" w:rsidRDefault="004E3B14" w:rsidP="00BE7A88">
            <w:pPr>
              <w:numPr>
                <w:ilvl w:val="0"/>
                <w:numId w:val="4"/>
              </w:numPr>
              <w:tabs>
                <w:tab w:val="clear" w:pos="1440"/>
                <w:tab w:val="num" w:pos="581"/>
              </w:tabs>
              <w:ind w:left="581" w:hanging="374"/>
              <w:rPr>
                <w:sz w:val="20"/>
                <w:szCs w:val="20"/>
              </w:rPr>
            </w:pPr>
            <w:r w:rsidRPr="00D87B18">
              <w:t>Information processing and technology for effective administration (2007 new)</w:t>
            </w:r>
          </w:p>
        </w:tc>
        <w:tc>
          <w:tcPr>
            <w:tcW w:w="938" w:type="dxa"/>
          </w:tcPr>
          <w:p w14:paraId="59D97C20" w14:textId="77777777" w:rsidR="004E3B14" w:rsidRPr="00D87B18" w:rsidRDefault="004E3B14" w:rsidP="000A41AA">
            <w:pPr>
              <w:jc w:val="center"/>
              <w:rPr>
                <w:sz w:val="20"/>
                <w:szCs w:val="20"/>
              </w:rPr>
            </w:pPr>
          </w:p>
        </w:tc>
        <w:tc>
          <w:tcPr>
            <w:tcW w:w="748" w:type="dxa"/>
          </w:tcPr>
          <w:p w14:paraId="077BB1C4" w14:textId="77777777" w:rsidR="004E3B14" w:rsidRPr="00D87B18" w:rsidRDefault="004E3B14" w:rsidP="000A41AA">
            <w:pPr>
              <w:jc w:val="center"/>
              <w:rPr>
                <w:sz w:val="20"/>
                <w:szCs w:val="20"/>
              </w:rPr>
            </w:pPr>
          </w:p>
        </w:tc>
        <w:tc>
          <w:tcPr>
            <w:tcW w:w="689" w:type="dxa"/>
          </w:tcPr>
          <w:p w14:paraId="2F5F7363" w14:textId="77777777" w:rsidR="004E3B14" w:rsidRPr="00D87B18" w:rsidRDefault="004E3B14" w:rsidP="000A41AA">
            <w:pPr>
              <w:jc w:val="center"/>
              <w:rPr>
                <w:sz w:val="20"/>
                <w:szCs w:val="20"/>
              </w:rPr>
            </w:pPr>
          </w:p>
        </w:tc>
        <w:tc>
          <w:tcPr>
            <w:tcW w:w="994" w:type="dxa"/>
          </w:tcPr>
          <w:p w14:paraId="7BDA65DE" w14:textId="77777777" w:rsidR="004E3B14" w:rsidRPr="00D87B18" w:rsidRDefault="004E3B14" w:rsidP="000A41AA">
            <w:pPr>
              <w:jc w:val="center"/>
              <w:rPr>
                <w:sz w:val="20"/>
                <w:szCs w:val="20"/>
              </w:rPr>
            </w:pPr>
          </w:p>
        </w:tc>
        <w:tc>
          <w:tcPr>
            <w:tcW w:w="748" w:type="dxa"/>
          </w:tcPr>
          <w:p w14:paraId="0482EBBD" w14:textId="77777777" w:rsidR="004E3B14" w:rsidRPr="00D87B18" w:rsidRDefault="004E3B14" w:rsidP="000A41AA">
            <w:pPr>
              <w:jc w:val="center"/>
              <w:rPr>
                <w:sz w:val="20"/>
                <w:szCs w:val="20"/>
              </w:rPr>
            </w:pPr>
          </w:p>
        </w:tc>
        <w:tc>
          <w:tcPr>
            <w:tcW w:w="935" w:type="dxa"/>
          </w:tcPr>
          <w:p w14:paraId="2D9A6F54" w14:textId="77777777" w:rsidR="004E3B14" w:rsidRPr="00D87B18" w:rsidRDefault="004E3B14" w:rsidP="000A41AA">
            <w:pPr>
              <w:jc w:val="center"/>
              <w:rPr>
                <w:sz w:val="20"/>
                <w:szCs w:val="20"/>
              </w:rPr>
            </w:pPr>
          </w:p>
        </w:tc>
      </w:tr>
    </w:tbl>
    <w:p w14:paraId="5A3E0D7C" w14:textId="77777777" w:rsidR="00D4146F" w:rsidRDefault="0067596A" w:rsidP="0067596A">
      <w:pPr>
        <w:spacing w:before="120"/>
        <w:jc w:val="center"/>
        <w:rPr>
          <w:sz w:val="20"/>
          <w:szCs w:val="20"/>
        </w:rPr>
      </w:pPr>
      <w:r w:rsidRPr="00D87B18">
        <w:rPr>
          <w:sz w:val="20"/>
          <w:szCs w:val="20"/>
        </w:rPr>
        <w:t>~</w:t>
      </w:r>
      <w:r w:rsidR="00924D52" w:rsidRPr="00D87B18">
        <w:rPr>
          <w:sz w:val="20"/>
          <w:szCs w:val="20"/>
        </w:rPr>
        <w:t xml:space="preserve"> = Tool is not used to measure the associated </w:t>
      </w:r>
      <w:r w:rsidR="00D10C4C" w:rsidRPr="00D87B18">
        <w:rPr>
          <w:sz w:val="20"/>
          <w:szCs w:val="20"/>
        </w:rPr>
        <w:t xml:space="preserve">goals / </w:t>
      </w:r>
      <w:r w:rsidR="00924D52" w:rsidRPr="00D87B18">
        <w:rPr>
          <w:sz w:val="20"/>
          <w:szCs w:val="20"/>
        </w:rPr>
        <w:t>objective</w:t>
      </w:r>
      <w:r w:rsidR="00D10C4C" w:rsidRPr="00D87B18">
        <w:rPr>
          <w:sz w:val="20"/>
          <w:szCs w:val="20"/>
        </w:rPr>
        <w:t>s</w:t>
      </w:r>
      <w:r w:rsidR="00D4146F">
        <w:rPr>
          <w:sz w:val="20"/>
          <w:szCs w:val="20"/>
        </w:rPr>
        <w:t>.</w:t>
      </w:r>
    </w:p>
    <w:p w14:paraId="199828DD" w14:textId="77777777" w:rsidR="00924D52" w:rsidRPr="00D87B18" w:rsidRDefault="0067596A" w:rsidP="0067596A">
      <w:pPr>
        <w:spacing w:before="120"/>
        <w:jc w:val="center"/>
      </w:pPr>
      <w:r w:rsidRPr="00D87B18">
        <w:rPr>
          <w:sz w:val="20"/>
          <w:szCs w:val="20"/>
        </w:rPr>
        <w:t>√</w:t>
      </w:r>
      <w:r w:rsidR="00924D52" w:rsidRPr="00D87B18">
        <w:rPr>
          <w:sz w:val="20"/>
          <w:szCs w:val="20"/>
        </w:rPr>
        <w:t xml:space="preserve"> = Tool is used to measure the associated </w:t>
      </w:r>
      <w:r w:rsidR="00D10C4C" w:rsidRPr="00D87B18">
        <w:rPr>
          <w:sz w:val="20"/>
          <w:szCs w:val="20"/>
        </w:rPr>
        <w:t xml:space="preserve">goals / </w:t>
      </w:r>
      <w:r w:rsidR="00924D52" w:rsidRPr="00D87B18">
        <w:rPr>
          <w:sz w:val="20"/>
          <w:szCs w:val="20"/>
        </w:rPr>
        <w:t>objective</w:t>
      </w:r>
      <w:r w:rsidR="00D10C4C" w:rsidRPr="00D87B18">
        <w:rPr>
          <w:sz w:val="20"/>
          <w:szCs w:val="20"/>
        </w:rPr>
        <w:t>s</w:t>
      </w:r>
      <w:r w:rsidR="00924D52" w:rsidRPr="00D87B18">
        <w:rPr>
          <w:sz w:val="20"/>
          <w:szCs w:val="20"/>
        </w:rPr>
        <w:t>.</w:t>
      </w:r>
    </w:p>
    <w:p w14:paraId="7D645F74" w14:textId="77777777" w:rsidR="00924D52" w:rsidRPr="00D87B18" w:rsidRDefault="00924D52">
      <w:pPr>
        <w:jc w:val="both"/>
        <w:rPr>
          <w:b/>
        </w:rPr>
      </w:pPr>
    </w:p>
    <w:p w14:paraId="0EAED5B0" w14:textId="77777777" w:rsidR="00924D52" w:rsidRPr="00D87B18" w:rsidRDefault="00D4146F" w:rsidP="00F24D3E">
      <w:pPr>
        <w:pStyle w:val="Heading1"/>
        <w:rPr>
          <w:rFonts w:ascii="Times New Roman" w:hAnsi="Times New Roman"/>
        </w:rPr>
      </w:pPr>
      <w:bookmarkStart w:id="32" w:name="_Toc112752972"/>
      <w:bookmarkStart w:id="33" w:name="_Toc150071845"/>
      <w:bookmarkStart w:id="34" w:name="_Toc150695212"/>
      <w:bookmarkStart w:id="35" w:name="_Toc201137027"/>
      <w:r>
        <w:rPr>
          <w:rFonts w:ascii="Times New Roman" w:hAnsi="Times New Roman"/>
        </w:rPr>
        <w:br w:type="page"/>
      </w:r>
      <w:r w:rsidR="00924D52" w:rsidRPr="00D87B18">
        <w:rPr>
          <w:rFonts w:ascii="Times New Roman" w:hAnsi="Times New Roman"/>
        </w:rPr>
        <w:lastRenderedPageBreak/>
        <w:t>Assessment Implementation &amp; Analysis for Program Improvement</w:t>
      </w:r>
      <w:bookmarkEnd w:id="32"/>
      <w:bookmarkEnd w:id="33"/>
      <w:bookmarkEnd w:id="34"/>
      <w:bookmarkEnd w:id="35"/>
    </w:p>
    <w:p w14:paraId="64486DD1" w14:textId="77777777" w:rsidR="00924D52" w:rsidRPr="00D87B18" w:rsidRDefault="00924D52" w:rsidP="00D33ABB">
      <w:pPr>
        <w:pStyle w:val="Heading2"/>
        <w:rPr>
          <w:rFonts w:ascii="Times New Roman" w:hAnsi="Times New Roman"/>
          <w:sz w:val="24"/>
          <w:szCs w:val="24"/>
          <w:u w:val="single"/>
        </w:rPr>
      </w:pPr>
      <w:bookmarkStart w:id="36" w:name="_Toc112752937"/>
      <w:bookmarkStart w:id="37" w:name="_Toc112752973"/>
      <w:bookmarkStart w:id="38" w:name="_Toc201137028"/>
      <w:r w:rsidRPr="00D87B18">
        <w:rPr>
          <w:rFonts w:ascii="Times New Roman" w:hAnsi="Times New Roman"/>
          <w:sz w:val="24"/>
          <w:szCs w:val="24"/>
          <w:u w:val="single"/>
        </w:rPr>
        <w:t>General Implementation Strategy</w:t>
      </w:r>
      <w:bookmarkEnd w:id="36"/>
      <w:bookmarkEnd w:id="37"/>
      <w:bookmarkEnd w:id="38"/>
    </w:p>
    <w:p w14:paraId="49A9E38F" w14:textId="77777777" w:rsidR="00924D52" w:rsidRPr="00D87B18" w:rsidRDefault="00D5157F">
      <w:pPr>
        <w:jc w:val="both"/>
        <w:rPr>
          <w:rStyle w:val="HeadingBCharCharChar"/>
          <w:b w:val="0"/>
          <w:bCs/>
        </w:rPr>
      </w:pPr>
      <w:r w:rsidRPr="00D87B18">
        <w:rPr>
          <w:rStyle w:val="HeadingBCharCharChar"/>
          <w:b w:val="0"/>
          <w:bCs/>
        </w:rPr>
        <w:t xml:space="preserve">The </w:t>
      </w:r>
      <w:r w:rsidR="00924D52" w:rsidRPr="00D87B18">
        <w:rPr>
          <w:rStyle w:val="HeadingBCharCharChar"/>
          <w:b w:val="0"/>
          <w:bCs/>
        </w:rPr>
        <w:t xml:space="preserve">CBPP Dean’s Office and </w:t>
      </w:r>
      <w:r w:rsidRPr="00D87B18">
        <w:rPr>
          <w:rStyle w:val="HeadingBCharCharChar"/>
          <w:b w:val="0"/>
          <w:bCs/>
        </w:rPr>
        <w:t>c</w:t>
      </w:r>
      <w:r w:rsidR="00924D52" w:rsidRPr="00D87B18">
        <w:rPr>
          <w:rStyle w:val="HeadingBCharCharChar"/>
          <w:b w:val="0"/>
          <w:bCs/>
        </w:rPr>
        <w:t>ollege staff is responsible for:</w:t>
      </w:r>
    </w:p>
    <w:p w14:paraId="158BCFBA" w14:textId="77777777" w:rsidR="005A73F3" w:rsidRPr="00D87B18" w:rsidRDefault="005A73F3" w:rsidP="005A73F3">
      <w:pPr>
        <w:numPr>
          <w:ilvl w:val="0"/>
          <w:numId w:val="6"/>
        </w:numPr>
        <w:jc w:val="both"/>
        <w:rPr>
          <w:rStyle w:val="HeadingBCharCharChar"/>
          <w:b w:val="0"/>
          <w:bCs/>
        </w:rPr>
      </w:pPr>
      <w:r w:rsidRPr="00D87B18">
        <w:rPr>
          <w:rStyle w:val="HeadingBCharCharChar"/>
          <w:b w:val="0"/>
          <w:bCs/>
        </w:rPr>
        <w:t xml:space="preserve">Scheduling and hosting two all </w:t>
      </w:r>
      <w:r w:rsidR="00707CAE" w:rsidRPr="00D87B18">
        <w:rPr>
          <w:rStyle w:val="HeadingBCharCharChar"/>
          <w:b w:val="0"/>
          <w:bCs/>
        </w:rPr>
        <w:t>MPA</w:t>
      </w:r>
      <w:r w:rsidRPr="00D87B18">
        <w:rPr>
          <w:rStyle w:val="HeadingBCharCharChar"/>
          <w:b w:val="0"/>
          <w:bCs/>
        </w:rPr>
        <w:t xml:space="preserve"> faculty meetings per year (January and August) to discuss assessment data analysis and recommendations for changes to </w:t>
      </w:r>
      <w:r w:rsidR="00707CAE" w:rsidRPr="00D87B18">
        <w:rPr>
          <w:rStyle w:val="HeadingBCharCharChar"/>
          <w:b w:val="0"/>
          <w:bCs/>
        </w:rPr>
        <w:t>MPA</w:t>
      </w:r>
      <w:r w:rsidRPr="00D87B18">
        <w:rPr>
          <w:rStyle w:val="HeadingBCharCharChar"/>
          <w:b w:val="0"/>
          <w:bCs/>
        </w:rPr>
        <w:t xml:space="preserve"> program.</w:t>
      </w:r>
    </w:p>
    <w:p w14:paraId="2FACBFD4" w14:textId="77777777" w:rsidR="005A73F3" w:rsidRPr="00D87B18" w:rsidRDefault="005A73F3" w:rsidP="005A73F3">
      <w:pPr>
        <w:numPr>
          <w:ilvl w:val="0"/>
          <w:numId w:val="6"/>
        </w:numPr>
        <w:jc w:val="both"/>
        <w:rPr>
          <w:rStyle w:val="HeadingBCharCharChar"/>
          <w:b w:val="0"/>
          <w:bCs/>
        </w:rPr>
      </w:pPr>
      <w:r w:rsidRPr="00D87B18">
        <w:rPr>
          <w:rStyle w:val="HeadingBCharCharChar"/>
          <w:b w:val="0"/>
          <w:bCs/>
        </w:rPr>
        <w:t>Provide sufficient financial support for development and implementation of this plan.</w:t>
      </w:r>
    </w:p>
    <w:p w14:paraId="1147F6C5" w14:textId="77777777" w:rsidR="008F537C" w:rsidRPr="00D87B18" w:rsidRDefault="008F537C" w:rsidP="008F537C">
      <w:pPr>
        <w:numPr>
          <w:ilvl w:val="0"/>
          <w:numId w:val="6"/>
        </w:numPr>
        <w:rPr>
          <w:rStyle w:val="HeadingBCharCharChar"/>
          <w:b w:val="0"/>
          <w:bCs/>
        </w:rPr>
      </w:pPr>
      <w:r w:rsidRPr="00D87B18">
        <w:rPr>
          <w:rStyle w:val="HeadingBCharCharChar"/>
          <w:b w:val="0"/>
          <w:bCs/>
        </w:rPr>
        <w:t>Ensure that faculty assessment efforts are appropriately reflected in annual workload agreements.</w:t>
      </w:r>
    </w:p>
    <w:p w14:paraId="10D29360" w14:textId="77777777" w:rsidR="00924D52" w:rsidRPr="00D87B18" w:rsidRDefault="00924D52">
      <w:pPr>
        <w:rPr>
          <w:rStyle w:val="HeadingBCharCharChar"/>
          <w:b w:val="0"/>
          <w:bCs/>
        </w:rPr>
      </w:pPr>
      <w:r w:rsidRPr="00D87B18">
        <w:rPr>
          <w:rStyle w:val="HeadingBCharCharChar"/>
          <w:b w:val="0"/>
          <w:bCs/>
        </w:rPr>
        <w:t xml:space="preserve">The </w:t>
      </w:r>
      <w:r w:rsidR="00707CAE" w:rsidRPr="00D87B18">
        <w:rPr>
          <w:rStyle w:val="HeadingBCharCharChar"/>
          <w:b w:val="0"/>
          <w:bCs/>
        </w:rPr>
        <w:t>MPA</w:t>
      </w:r>
      <w:r w:rsidR="0095009C" w:rsidRPr="00D87B18">
        <w:rPr>
          <w:rStyle w:val="HeadingBCharCharChar"/>
          <w:b w:val="0"/>
          <w:bCs/>
        </w:rPr>
        <w:t xml:space="preserve"> Faculty is</w:t>
      </w:r>
      <w:r w:rsidRPr="00D87B18">
        <w:rPr>
          <w:rStyle w:val="HeadingBCharCharChar"/>
          <w:b w:val="0"/>
          <w:bCs/>
        </w:rPr>
        <w:t xml:space="preserve"> responsible for:</w:t>
      </w:r>
    </w:p>
    <w:p w14:paraId="796C7900" w14:textId="77777777" w:rsidR="008F537C" w:rsidRPr="00D87B18" w:rsidRDefault="0073743B" w:rsidP="008F537C">
      <w:pPr>
        <w:numPr>
          <w:ilvl w:val="0"/>
          <w:numId w:val="2"/>
        </w:numPr>
        <w:rPr>
          <w:rStyle w:val="HeadingBCharCharChar"/>
          <w:b w:val="0"/>
          <w:bCs/>
        </w:rPr>
      </w:pPr>
      <w:r w:rsidRPr="00D87B18">
        <w:rPr>
          <w:rStyle w:val="HeadingBCharCharChar"/>
          <w:b w:val="0"/>
          <w:bCs/>
        </w:rPr>
        <w:t>Undertaking</w:t>
      </w:r>
      <w:r w:rsidR="008F537C" w:rsidRPr="00D87B18">
        <w:rPr>
          <w:rStyle w:val="HeadingBCharCharChar"/>
          <w:b w:val="0"/>
          <w:bCs/>
        </w:rPr>
        <w:t xml:space="preserve"> assessment efforts as an integral portion of teaching activity.</w:t>
      </w:r>
    </w:p>
    <w:p w14:paraId="516AFEDE" w14:textId="77777777" w:rsidR="0073743B" w:rsidRPr="00D87B18" w:rsidRDefault="0073743B" w:rsidP="008F537C">
      <w:pPr>
        <w:numPr>
          <w:ilvl w:val="0"/>
          <w:numId w:val="2"/>
        </w:numPr>
        <w:rPr>
          <w:rStyle w:val="HeadingBCharCharChar"/>
          <w:b w:val="0"/>
          <w:bCs/>
        </w:rPr>
      </w:pPr>
      <w:r w:rsidRPr="00D87B18">
        <w:rPr>
          <w:rStyle w:val="HeadingBCharCharChar"/>
          <w:b w:val="0"/>
          <w:bCs/>
        </w:rPr>
        <w:t>Participating in meetings to discuss assessment data and offer recommendations for program improvement.</w:t>
      </w:r>
    </w:p>
    <w:p w14:paraId="10C06CE2" w14:textId="77777777" w:rsidR="00D33ABB" w:rsidRPr="00D87B18" w:rsidRDefault="00D33ABB" w:rsidP="00D33ABB">
      <w:pPr>
        <w:rPr>
          <w:rStyle w:val="HeadingBCharCharChar"/>
          <w:b w:val="0"/>
          <w:bCs/>
        </w:rPr>
      </w:pPr>
    </w:p>
    <w:p w14:paraId="411DD299" w14:textId="77777777" w:rsidR="00924D52" w:rsidRPr="00D87B18" w:rsidRDefault="00462F24" w:rsidP="00D33ABB">
      <w:pPr>
        <w:pStyle w:val="Heading2"/>
        <w:rPr>
          <w:rFonts w:ascii="Times New Roman" w:hAnsi="Times New Roman"/>
          <w:sz w:val="24"/>
          <w:szCs w:val="24"/>
          <w:u w:val="single"/>
        </w:rPr>
      </w:pPr>
      <w:bookmarkStart w:id="39" w:name="_Toc201137029"/>
      <w:r w:rsidRPr="00D87B18">
        <w:rPr>
          <w:rFonts w:ascii="Times New Roman" w:hAnsi="Times New Roman"/>
          <w:sz w:val="24"/>
          <w:szCs w:val="24"/>
          <w:u w:val="single"/>
        </w:rPr>
        <w:t>Assessment Timetable</w:t>
      </w:r>
      <w:bookmarkEnd w:id="39"/>
    </w:p>
    <w:p w14:paraId="30250FC6" w14:textId="77777777" w:rsidR="00924D52" w:rsidRPr="00D87B18" w:rsidRDefault="00707CAE" w:rsidP="0095009C">
      <w:pPr>
        <w:pStyle w:val="BodyText3"/>
        <w:numPr>
          <w:ilvl w:val="0"/>
          <w:numId w:val="3"/>
        </w:numPr>
        <w:jc w:val="left"/>
        <w:rPr>
          <w:rStyle w:val="HeadingBCharCharChar"/>
          <w:b w:val="0"/>
          <w:bCs w:val="0"/>
        </w:rPr>
      </w:pPr>
      <w:r w:rsidRPr="00D87B18">
        <w:rPr>
          <w:rStyle w:val="HeadingBCharCharChar"/>
          <w:b w:val="0"/>
          <w:bCs w:val="0"/>
        </w:rPr>
        <w:t>MPA</w:t>
      </w:r>
      <w:r w:rsidR="00462F24" w:rsidRPr="00D87B18">
        <w:rPr>
          <w:rStyle w:val="HeadingBCharCharChar"/>
          <w:b w:val="0"/>
          <w:bCs w:val="0"/>
        </w:rPr>
        <w:t xml:space="preserve"> program</w:t>
      </w:r>
      <w:r w:rsidR="00924D52" w:rsidRPr="00D87B18">
        <w:rPr>
          <w:rStyle w:val="HeadingBCharCharChar"/>
          <w:b w:val="0"/>
          <w:bCs w:val="0"/>
        </w:rPr>
        <w:t xml:space="preserve"> faculty</w:t>
      </w:r>
      <w:r w:rsidR="0095009C" w:rsidRPr="00D87B18">
        <w:rPr>
          <w:rStyle w:val="HeadingBCharCharChar"/>
          <w:b w:val="0"/>
          <w:bCs w:val="0"/>
        </w:rPr>
        <w:t xml:space="preserve"> and/or course instructors</w:t>
      </w:r>
      <w:r w:rsidR="00924D52" w:rsidRPr="00D87B18">
        <w:rPr>
          <w:rStyle w:val="HeadingBCharCharChar"/>
          <w:b w:val="0"/>
          <w:bCs w:val="0"/>
        </w:rPr>
        <w:t xml:space="preserve"> will collect raw data throughout the </w:t>
      </w:r>
      <w:r w:rsidR="0095009C" w:rsidRPr="00D87B18">
        <w:rPr>
          <w:rStyle w:val="HeadingBCharCharChar"/>
          <w:b w:val="0"/>
          <w:bCs w:val="0"/>
        </w:rPr>
        <w:t>academic year</w:t>
      </w:r>
      <w:r w:rsidR="00924D52" w:rsidRPr="00D87B18">
        <w:rPr>
          <w:rStyle w:val="HeadingBCharCharChar"/>
          <w:b w:val="0"/>
          <w:bCs w:val="0"/>
        </w:rPr>
        <w:t xml:space="preserve"> (September-April).</w:t>
      </w:r>
    </w:p>
    <w:p w14:paraId="18DAF0C1" w14:textId="77777777" w:rsidR="00924D52" w:rsidRPr="00D87B18" w:rsidRDefault="00462F24" w:rsidP="0095009C">
      <w:pPr>
        <w:pStyle w:val="BodyText3"/>
        <w:numPr>
          <w:ilvl w:val="0"/>
          <w:numId w:val="3"/>
        </w:numPr>
        <w:jc w:val="left"/>
        <w:rPr>
          <w:rStyle w:val="HeadingBCharCharChar"/>
          <w:b w:val="0"/>
          <w:bCs w:val="0"/>
        </w:rPr>
      </w:pPr>
      <w:r w:rsidRPr="00D87B18">
        <w:rPr>
          <w:rStyle w:val="HeadingBCharCharChar"/>
          <w:b w:val="0"/>
          <w:bCs w:val="0"/>
        </w:rPr>
        <w:t>The</w:t>
      </w:r>
      <w:r w:rsidR="0095009C" w:rsidRPr="00D87B18">
        <w:rPr>
          <w:rStyle w:val="HeadingBCharCharChar"/>
          <w:b w:val="0"/>
          <w:bCs w:val="0"/>
        </w:rPr>
        <w:t xml:space="preserve"> CBPP Assessment Committee </w:t>
      </w:r>
      <w:r w:rsidRPr="00D87B18">
        <w:rPr>
          <w:rStyle w:val="HeadingBCharCharChar"/>
          <w:b w:val="0"/>
          <w:bCs w:val="0"/>
        </w:rPr>
        <w:t xml:space="preserve">will coordinate </w:t>
      </w:r>
      <w:r w:rsidR="00516409" w:rsidRPr="00D87B18">
        <w:rPr>
          <w:rStyle w:val="HeadingBCharCharChar"/>
          <w:b w:val="0"/>
          <w:bCs w:val="0"/>
        </w:rPr>
        <w:t xml:space="preserve">with the MPA faculty to conduct </w:t>
      </w:r>
      <w:r w:rsidRPr="00D87B18">
        <w:rPr>
          <w:rStyle w:val="HeadingBCharCharChar"/>
          <w:b w:val="0"/>
          <w:bCs w:val="0"/>
        </w:rPr>
        <w:t xml:space="preserve">the </w:t>
      </w:r>
      <w:r w:rsidR="00924D52" w:rsidRPr="00D87B18">
        <w:rPr>
          <w:rStyle w:val="HeadingBCharCharChar"/>
          <w:b w:val="0"/>
          <w:bCs w:val="0"/>
        </w:rPr>
        <w:t>compil</w:t>
      </w:r>
      <w:r w:rsidRPr="00D87B18">
        <w:rPr>
          <w:rStyle w:val="HeadingBCharCharChar"/>
          <w:b w:val="0"/>
          <w:bCs w:val="0"/>
        </w:rPr>
        <w:t xml:space="preserve">ation and analysis of collected </w:t>
      </w:r>
      <w:r w:rsidR="00924D52" w:rsidRPr="00D87B18">
        <w:rPr>
          <w:rStyle w:val="HeadingBCharCharChar"/>
          <w:b w:val="0"/>
          <w:bCs w:val="0"/>
        </w:rPr>
        <w:t>data prior to or during May of each year.</w:t>
      </w:r>
    </w:p>
    <w:p w14:paraId="2252DD14" w14:textId="77777777" w:rsidR="00924D52" w:rsidRPr="00D87B18" w:rsidRDefault="00516409" w:rsidP="0095009C">
      <w:pPr>
        <w:pStyle w:val="BodyText3"/>
        <w:numPr>
          <w:ilvl w:val="0"/>
          <w:numId w:val="3"/>
        </w:numPr>
        <w:jc w:val="left"/>
        <w:rPr>
          <w:rStyle w:val="HeadingBCharCharChar"/>
          <w:b w:val="0"/>
          <w:bCs w:val="0"/>
        </w:rPr>
      </w:pPr>
      <w:r w:rsidRPr="00D87B18">
        <w:rPr>
          <w:rStyle w:val="HeadingBCharCharChar"/>
          <w:b w:val="0"/>
          <w:bCs w:val="0"/>
        </w:rPr>
        <w:t>A</w:t>
      </w:r>
      <w:r w:rsidR="00CC0C1F" w:rsidRPr="00D87B18">
        <w:rPr>
          <w:rStyle w:val="HeadingBCharCharChar"/>
          <w:b w:val="0"/>
          <w:bCs w:val="0"/>
        </w:rPr>
        <w:t xml:space="preserve"> draft</w:t>
      </w:r>
      <w:r w:rsidR="00924D52" w:rsidRPr="00D87B18">
        <w:rPr>
          <w:rStyle w:val="HeadingBCharCharChar"/>
          <w:b w:val="0"/>
          <w:bCs w:val="0"/>
        </w:rPr>
        <w:t xml:space="preserve"> </w:t>
      </w:r>
      <w:r w:rsidR="009551A7" w:rsidRPr="00D87B18">
        <w:rPr>
          <w:rStyle w:val="HeadingBCharCharChar"/>
          <w:b w:val="0"/>
          <w:bCs w:val="0"/>
        </w:rPr>
        <w:t>M</w:t>
      </w:r>
      <w:r w:rsidR="00A62F8E" w:rsidRPr="00D87B18">
        <w:rPr>
          <w:rStyle w:val="HeadingBCharCharChar"/>
          <w:b w:val="0"/>
          <w:bCs w:val="0"/>
        </w:rPr>
        <w:t>PA</w:t>
      </w:r>
      <w:r w:rsidR="0095009C" w:rsidRPr="00D87B18">
        <w:rPr>
          <w:rStyle w:val="HeadingBCharCharChar"/>
          <w:b w:val="0"/>
          <w:bCs w:val="0"/>
        </w:rPr>
        <w:t xml:space="preserve"> A</w:t>
      </w:r>
      <w:r w:rsidR="00924D52" w:rsidRPr="00D87B18">
        <w:rPr>
          <w:rStyle w:val="HeadingBCharCharChar"/>
          <w:b w:val="0"/>
          <w:bCs w:val="0"/>
        </w:rPr>
        <w:t xml:space="preserve">ssessment </w:t>
      </w:r>
      <w:r w:rsidR="0095009C" w:rsidRPr="00D87B18">
        <w:rPr>
          <w:rStyle w:val="HeadingBCharCharChar"/>
          <w:b w:val="0"/>
          <w:bCs w:val="0"/>
        </w:rPr>
        <w:t>R</w:t>
      </w:r>
      <w:r w:rsidR="00924D52" w:rsidRPr="00D87B18">
        <w:rPr>
          <w:rStyle w:val="HeadingBCharCharChar"/>
          <w:b w:val="0"/>
          <w:bCs w:val="0"/>
        </w:rPr>
        <w:t xml:space="preserve">eport </w:t>
      </w:r>
      <w:r w:rsidRPr="00D87B18">
        <w:rPr>
          <w:rStyle w:val="HeadingBCharCharChar"/>
          <w:b w:val="0"/>
          <w:bCs w:val="0"/>
        </w:rPr>
        <w:t xml:space="preserve">will be prepared </w:t>
      </w:r>
      <w:r w:rsidR="00924D52" w:rsidRPr="00D87B18">
        <w:rPr>
          <w:rStyle w:val="HeadingBCharCharChar"/>
          <w:b w:val="0"/>
          <w:bCs w:val="0"/>
        </w:rPr>
        <w:t xml:space="preserve">and </w:t>
      </w:r>
      <w:r w:rsidRPr="00D87B18">
        <w:rPr>
          <w:rStyle w:val="HeadingBCharCharChar"/>
          <w:b w:val="0"/>
          <w:bCs w:val="0"/>
        </w:rPr>
        <w:t>submitted</w:t>
      </w:r>
      <w:r w:rsidR="00924D52" w:rsidRPr="00D87B18">
        <w:rPr>
          <w:rStyle w:val="HeadingBCharCharChar"/>
          <w:b w:val="0"/>
          <w:bCs w:val="0"/>
        </w:rPr>
        <w:t xml:space="preserve"> to the </w:t>
      </w:r>
      <w:r w:rsidR="0095009C" w:rsidRPr="00D87B18">
        <w:rPr>
          <w:rStyle w:val="HeadingBCharCharChar"/>
          <w:b w:val="0"/>
          <w:bCs w:val="0"/>
        </w:rPr>
        <w:t xml:space="preserve">UAA </w:t>
      </w:r>
      <w:r w:rsidR="00924D52" w:rsidRPr="00D87B18">
        <w:rPr>
          <w:rStyle w:val="HeadingBCharCharChar"/>
          <w:b w:val="0"/>
          <w:bCs w:val="0"/>
        </w:rPr>
        <w:t xml:space="preserve">Office of Academic Affairs by June 15.  The </w:t>
      </w:r>
      <w:r w:rsidR="00CC0C1F" w:rsidRPr="00D87B18">
        <w:rPr>
          <w:rStyle w:val="HeadingBCharCharChar"/>
          <w:b w:val="0"/>
          <w:bCs w:val="0"/>
        </w:rPr>
        <w:t xml:space="preserve">draft </w:t>
      </w:r>
      <w:r w:rsidR="00924D52" w:rsidRPr="00D87B18">
        <w:rPr>
          <w:rStyle w:val="HeadingBCharCharChar"/>
          <w:b w:val="0"/>
          <w:bCs w:val="0"/>
        </w:rPr>
        <w:t>report shall include the analysis of data collected during the prior year by each assessment tool; the status of recommendations previously adopted; and proposed recommendation</w:t>
      </w:r>
      <w:r w:rsidR="00CC0C1F" w:rsidRPr="00D87B18">
        <w:rPr>
          <w:rStyle w:val="HeadingBCharCharChar"/>
          <w:b w:val="0"/>
          <w:bCs w:val="0"/>
        </w:rPr>
        <w:t xml:space="preserve">s </w:t>
      </w:r>
      <w:r w:rsidRPr="00D87B18">
        <w:rPr>
          <w:rStyle w:val="HeadingBCharCharChar"/>
          <w:b w:val="0"/>
          <w:bCs w:val="0"/>
        </w:rPr>
        <w:t>to be considered.</w:t>
      </w:r>
    </w:p>
    <w:p w14:paraId="5FF80E3F" w14:textId="77777777" w:rsidR="00924D52" w:rsidRPr="00D87B18" w:rsidRDefault="00924D52" w:rsidP="0095009C">
      <w:pPr>
        <w:pStyle w:val="BodyText3"/>
        <w:numPr>
          <w:ilvl w:val="0"/>
          <w:numId w:val="3"/>
        </w:numPr>
        <w:jc w:val="left"/>
        <w:rPr>
          <w:rStyle w:val="HeadingBCharCharChar"/>
          <w:b w:val="0"/>
          <w:bCs w:val="0"/>
        </w:rPr>
      </w:pPr>
      <w:r w:rsidRPr="00D87B18">
        <w:rPr>
          <w:rStyle w:val="HeadingBCharCharChar"/>
          <w:b w:val="0"/>
          <w:bCs w:val="0"/>
        </w:rPr>
        <w:t>Program faculty will meet every fall at the start of the semester, prior to the start of classes, to review the compiled data from the previous year and to develop recommendations for program improvements to better achieve the stated objectives and outcomes.</w:t>
      </w:r>
    </w:p>
    <w:p w14:paraId="4A4779C0" w14:textId="77777777" w:rsidR="00CC0C1F" w:rsidRPr="00D87B18" w:rsidRDefault="00CC0C1F" w:rsidP="0095009C">
      <w:pPr>
        <w:pStyle w:val="BodyText3"/>
        <w:numPr>
          <w:ilvl w:val="0"/>
          <w:numId w:val="3"/>
        </w:numPr>
        <w:jc w:val="left"/>
        <w:rPr>
          <w:rStyle w:val="HeadingBCharCharChar"/>
          <w:b w:val="0"/>
          <w:bCs w:val="0"/>
        </w:rPr>
      </w:pPr>
      <w:r w:rsidRPr="00D87B18">
        <w:rPr>
          <w:rStyle w:val="HeadingBCharCharChar"/>
          <w:b w:val="0"/>
          <w:bCs w:val="0"/>
        </w:rPr>
        <w:t>Program faculty will meet every January to discuss results from the previous calendar year and plan data collection activities for the current calendar year.</w:t>
      </w:r>
    </w:p>
    <w:p w14:paraId="3316A60C" w14:textId="77777777" w:rsidR="0095009C" w:rsidRPr="00D87B18" w:rsidRDefault="0095009C" w:rsidP="0095009C">
      <w:pPr>
        <w:pStyle w:val="BodyText3"/>
        <w:jc w:val="left"/>
        <w:rPr>
          <w:rStyle w:val="HeadingBCharCharChar"/>
          <w:b w:val="0"/>
          <w:bCs w:val="0"/>
        </w:rPr>
      </w:pPr>
    </w:p>
    <w:p w14:paraId="06ECF866" w14:textId="77777777" w:rsidR="00924D52" w:rsidRPr="00D87B18" w:rsidRDefault="00B30218" w:rsidP="00B30218">
      <w:pPr>
        <w:pStyle w:val="BodyText3"/>
        <w:jc w:val="left"/>
        <w:rPr>
          <w:rStyle w:val="HeadingBCharCharChar"/>
          <w:b w:val="0"/>
          <w:bCs w:val="0"/>
        </w:rPr>
      </w:pPr>
      <w:r w:rsidRPr="00D87B18">
        <w:rPr>
          <w:rStyle w:val="HeadingBCharCharChar"/>
          <w:b w:val="0"/>
          <w:bCs w:val="0"/>
        </w:rPr>
        <w:t>P</w:t>
      </w:r>
      <w:r w:rsidR="00924D52" w:rsidRPr="00D87B18">
        <w:rPr>
          <w:rStyle w:val="HeadingBCharCharChar"/>
          <w:b w:val="0"/>
          <w:bCs w:val="0"/>
        </w:rPr>
        <w:t xml:space="preserve">roposed program changes may be any action or change in policy that the faculty deems as being necessary to improve performance relative to program objectives and outcomes.  Recommended changes should also consider workload (faculty, staff, and students), budgetary, facilities, and other relevant constraints.  A few examples of changes made by programs at UAA include:  </w:t>
      </w:r>
    </w:p>
    <w:p w14:paraId="4C0212F5" w14:textId="77777777" w:rsidR="00924D52" w:rsidRPr="00D87B18" w:rsidRDefault="00B30218" w:rsidP="00B30218">
      <w:pPr>
        <w:pStyle w:val="BodyText3"/>
        <w:numPr>
          <w:ilvl w:val="0"/>
          <w:numId w:val="5"/>
        </w:numPr>
        <w:rPr>
          <w:rStyle w:val="HeadingBCharCharChar"/>
          <w:b w:val="0"/>
          <w:bCs w:val="0"/>
        </w:rPr>
      </w:pPr>
      <w:r w:rsidRPr="00D87B18">
        <w:rPr>
          <w:rStyle w:val="HeadingBCharCharChar"/>
          <w:b w:val="0"/>
          <w:bCs w:val="0"/>
        </w:rPr>
        <w:t>C</w:t>
      </w:r>
      <w:r w:rsidR="00924D52" w:rsidRPr="00D87B18">
        <w:rPr>
          <w:rStyle w:val="HeadingBCharCharChar"/>
          <w:b w:val="0"/>
          <w:bCs w:val="0"/>
        </w:rPr>
        <w:t>hanges in course content, scheduling, sequencing, prerequisites, delivery methods, etc.</w:t>
      </w:r>
    </w:p>
    <w:p w14:paraId="069E19CC" w14:textId="77777777" w:rsidR="00924D52" w:rsidRPr="00D87B18" w:rsidRDefault="00B30218" w:rsidP="00B30218">
      <w:pPr>
        <w:pStyle w:val="BodyText3"/>
        <w:numPr>
          <w:ilvl w:val="0"/>
          <w:numId w:val="5"/>
        </w:numPr>
        <w:rPr>
          <w:rStyle w:val="HeadingBCharCharChar"/>
          <w:b w:val="0"/>
          <w:bCs w:val="0"/>
        </w:rPr>
      </w:pPr>
      <w:r w:rsidRPr="00D87B18">
        <w:rPr>
          <w:rStyle w:val="HeadingBCharCharChar"/>
          <w:b w:val="0"/>
          <w:bCs w:val="0"/>
        </w:rPr>
        <w:t>C</w:t>
      </w:r>
      <w:r w:rsidR="00924D52" w:rsidRPr="00D87B18">
        <w:rPr>
          <w:rStyle w:val="HeadingBCharCharChar"/>
          <w:b w:val="0"/>
          <w:bCs w:val="0"/>
        </w:rPr>
        <w:t>hanges in faculty/staff assignments</w:t>
      </w:r>
    </w:p>
    <w:p w14:paraId="7A5063F3" w14:textId="77777777" w:rsidR="00924D52" w:rsidRPr="00D87B18" w:rsidRDefault="00B30218" w:rsidP="00B30218">
      <w:pPr>
        <w:pStyle w:val="BodyText3"/>
        <w:numPr>
          <w:ilvl w:val="0"/>
          <w:numId w:val="5"/>
        </w:numPr>
        <w:rPr>
          <w:rStyle w:val="HeadingBCharCharChar"/>
          <w:b w:val="0"/>
          <w:bCs w:val="0"/>
        </w:rPr>
      </w:pPr>
      <w:r w:rsidRPr="00D87B18">
        <w:rPr>
          <w:rStyle w:val="HeadingBCharCharChar"/>
          <w:b w:val="0"/>
          <w:bCs w:val="0"/>
        </w:rPr>
        <w:t>C</w:t>
      </w:r>
      <w:r w:rsidR="00924D52" w:rsidRPr="00D87B18">
        <w:rPr>
          <w:rStyle w:val="HeadingBCharCharChar"/>
          <w:b w:val="0"/>
          <w:bCs w:val="0"/>
        </w:rPr>
        <w:t>hanges in advising methods and requirements</w:t>
      </w:r>
    </w:p>
    <w:p w14:paraId="79174DFF" w14:textId="77777777" w:rsidR="00924D52" w:rsidRPr="00D87B18" w:rsidRDefault="00B30218" w:rsidP="00B30218">
      <w:pPr>
        <w:pStyle w:val="BodyText3"/>
        <w:numPr>
          <w:ilvl w:val="0"/>
          <w:numId w:val="5"/>
        </w:numPr>
        <w:rPr>
          <w:rStyle w:val="HeadingBCharCharChar"/>
          <w:b w:val="0"/>
          <w:bCs w:val="0"/>
        </w:rPr>
      </w:pPr>
      <w:r w:rsidRPr="00D87B18">
        <w:rPr>
          <w:rStyle w:val="HeadingBCharCharChar"/>
          <w:b w:val="0"/>
          <w:bCs w:val="0"/>
        </w:rPr>
        <w:t>A</w:t>
      </w:r>
      <w:r w:rsidR="00924D52" w:rsidRPr="00D87B18">
        <w:rPr>
          <w:rStyle w:val="HeadingBCharCharChar"/>
          <w:b w:val="0"/>
          <w:bCs w:val="0"/>
        </w:rPr>
        <w:t>ddition and/or replacement of equipment</w:t>
      </w:r>
    </w:p>
    <w:p w14:paraId="0E181F0F" w14:textId="77777777" w:rsidR="00924D52" w:rsidRPr="00D87B18" w:rsidRDefault="00B30218" w:rsidP="00B30218">
      <w:pPr>
        <w:pStyle w:val="BodyText3"/>
        <w:numPr>
          <w:ilvl w:val="0"/>
          <w:numId w:val="5"/>
        </w:numPr>
        <w:rPr>
          <w:rStyle w:val="HeadingBCharCharChar"/>
          <w:b w:val="0"/>
          <w:bCs w:val="0"/>
        </w:rPr>
      </w:pPr>
      <w:r w:rsidRPr="00D87B18">
        <w:rPr>
          <w:rStyle w:val="HeadingBCharCharChar"/>
          <w:b w:val="0"/>
          <w:bCs w:val="0"/>
        </w:rPr>
        <w:t>C</w:t>
      </w:r>
      <w:r w:rsidR="00924D52" w:rsidRPr="00D87B18">
        <w:rPr>
          <w:rStyle w:val="HeadingBCharCharChar"/>
          <w:b w:val="0"/>
          <w:bCs w:val="0"/>
        </w:rPr>
        <w:t>hanges to facilities</w:t>
      </w:r>
    </w:p>
    <w:p w14:paraId="4E6C39D2" w14:textId="77777777" w:rsidR="00924D52" w:rsidRPr="00D87B18" w:rsidRDefault="00924D52">
      <w:pPr>
        <w:ind w:left="360" w:hanging="360"/>
        <w:jc w:val="both"/>
        <w:rPr>
          <w:rStyle w:val="HeadingBCharCharChar"/>
        </w:rPr>
      </w:pPr>
    </w:p>
    <w:p w14:paraId="28F3100C" w14:textId="77777777" w:rsidR="00924D52" w:rsidRPr="00D87B18" w:rsidRDefault="00924D52" w:rsidP="00D33ABB">
      <w:pPr>
        <w:pStyle w:val="Heading2"/>
        <w:rPr>
          <w:rFonts w:ascii="Times New Roman" w:hAnsi="Times New Roman"/>
          <w:sz w:val="24"/>
          <w:szCs w:val="24"/>
          <w:u w:val="single"/>
        </w:rPr>
      </w:pPr>
      <w:bookmarkStart w:id="40" w:name="_Toc112752939"/>
      <w:bookmarkStart w:id="41" w:name="_Toc112752975"/>
      <w:bookmarkStart w:id="42" w:name="_Toc201137030"/>
      <w:r w:rsidRPr="00D87B18">
        <w:rPr>
          <w:rFonts w:ascii="Times New Roman" w:hAnsi="Times New Roman"/>
          <w:sz w:val="24"/>
          <w:szCs w:val="24"/>
          <w:u w:val="single"/>
        </w:rPr>
        <w:t>Modification of the Assessment Plan</w:t>
      </w:r>
      <w:bookmarkEnd w:id="40"/>
      <w:bookmarkEnd w:id="41"/>
      <w:bookmarkEnd w:id="42"/>
    </w:p>
    <w:p w14:paraId="0FBB5F46" w14:textId="77777777" w:rsidR="00924D52" w:rsidRPr="00D4146F" w:rsidRDefault="00924D52" w:rsidP="00D4146F">
      <w:pPr>
        <w:pStyle w:val="BodyTextIndent3"/>
        <w:ind w:left="0" w:firstLine="0"/>
        <w:jc w:val="left"/>
        <w:rPr>
          <w:b/>
          <w:bCs w:val="0"/>
        </w:rPr>
      </w:pPr>
      <w:r w:rsidRPr="00D87B18">
        <w:rPr>
          <w:rStyle w:val="HeadingBCharCharChar"/>
          <w:b w:val="0"/>
          <w:bCs w:val="0"/>
        </w:rPr>
        <w:t xml:space="preserve">The faculty, after reviewing the collected data and the processes used to collect it, may decide to alter the assessment plan.  Changes may be made to any component of the plan, including the </w:t>
      </w:r>
      <w:r w:rsidR="00D5157F" w:rsidRPr="00D87B18">
        <w:rPr>
          <w:rStyle w:val="HeadingBCharCharChar"/>
          <w:b w:val="0"/>
          <w:bCs w:val="0"/>
        </w:rPr>
        <w:t xml:space="preserve">goals, </w:t>
      </w:r>
      <w:r w:rsidRPr="00D87B18">
        <w:rPr>
          <w:rStyle w:val="HeadingBCharCharChar"/>
          <w:b w:val="0"/>
          <w:bCs w:val="0"/>
        </w:rPr>
        <w:t xml:space="preserve">objectives, assessment tools, </w:t>
      </w:r>
      <w:r w:rsidR="00D5157F" w:rsidRPr="00D87B18">
        <w:rPr>
          <w:rStyle w:val="HeadingBCharCharChar"/>
          <w:b w:val="0"/>
          <w:bCs w:val="0"/>
        </w:rPr>
        <w:t xml:space="preserve">collection methods, </w:t>
      </w:r>
      <w:r w:rsidRPr="00D87B18">
        <w:rPr>
          <w:rStyle w:val="HeadingBCharCharChar"/>
          <w:b w:val="0"/>
          <w:bCs w:val="0"/>
        </w:rPr>
        <w:t xml:space="preserve">or any other aspect of the plan.  </w:t>
      </w:r>
      <w:r w:rsidR="008F0FFD" w:rsidRPr="00D87B18">
        <w:rPr>
          <w:rStyle w:val="HeadingBCharCharChar"/>
          <w:b w:val="0"/>
          <w:bCs w:val="0"/>
        </w:rPr>
        <w:t>Any</w:t>
      </w:r>
      <w:r w:rsidRPr="00D87B18">
        <w:rPr>
          <w:rStyle w:val="HeadingBCharCharChar"/>
          <w:b w:val="0"/>
          <w:bCs w:val="0"/>
        </w:rPr>
        <w:t xml:space="preserve"> changes are to be approved by the faculty of the p</w:t>
      </w:r>
      <w:r w:rsidR="008F0FFD" w:rsidRPr="00D87B18">
        <w:rPr>
          <w:rStyle w:val="HeadingBCharCharChar"/>
          <w:b w:val="0"/>
          <w:bCs w:val="0"/>
        </w:rPr>
        <w:t xml:space="preserve">rogram.  A </w:t>
      </w:r>
      <w:r w:rsidRPr="00D87B18">
        <w:rPr>
          <w:rStyle w:val="HeadingBCharCharChar"/>
          <w:b w:val="0"/>
          <w:bCs w:val="0"/>
        </w:rPr>
        <w:t xml:space="preserve">modified assessment plan </w:t>
      </w:r>
      <w:r w:rsidR="008F0FFD" w:rsidRPr="00D87B18">
        <w:rPr>
          <w:rStyle w:val="HeadingBCharCharChar"/>
          <w:b w:val="0"/>
          <w:bCs w:val="0"/>
        </w:rPr>
        <w:t>will</w:t>
      </w:r>
      <w:r w:rsidRPr="00D87B18">
        <w:rPr>
          <w:rStyle w:val="HeadingBCharCharChar"/>
          <w:b w:val="0"/>
          <w:bCs w:val="0"/>
        </w:rPr>
        <w:t xml:space="preserve"> be forwarded to the </w:t>
      </w:r>
      <w:r w:rsidR="008F0FFD" w:rsidRPr="00D87B18">
        <w:rPr>
          <w:rStyle w:val="HeadingBCharCharChar"/>
          <w:b w:val="0"/>
          <w:bCs w:val="0"/>
        </w:rPr>
        <w:t>CBPP D</w:t>
      </w:r>
      <w:r w:rsidRPr="00D87B18">
        <w:rPr>
          <w:rStyle w:val="HeadingBCharCharChar"/>
          <w:b w:val="0"/>
          <w:bCs w:val="0"/>
        </w:rPr>
        <w:t xml:space="preserve">ean and the </w:t>
      </w:r>
      <w:r w:rsidR="008F0FFD" w:rsidRPr="00D87B18">
        <w:rPr>
          <w:rStyle w:val="HeadingBCharCharChar"/>
          <w:b w:val="0"/>
          <w:bCs w:val="0"/>
        </w:rPr>
        <w:t xml:space="preserve">UAA </w:t>
      </w:r>
      <w:r w:rsidRPr="00D87B18">
        <w:rPr>
          <w:rStyle w:val="HeadingBCharCharChar"/>
          <w:b w:val="0"/>
          <w:bCs w:val="0"/>
        </w:rPr>
        <w:t>Office of Academic Affairs.</w:t>
      </w:r>
      <w:bookmarkStart w:id="43" w:name="_Toc36888405"/>
      <w:bookmarkStart w:id="44" w:name="_Toc112752976"/>
      <w:bookmarkStart w:id="45" w:name="_Toc150071847"/>
      <w:bookmarkStart w:id="46" w:name="_Toc150695213"/>
      <w:r w:rsidR="009414FC" w:rsidRPr="00D87B18">
        <w:rPr>
          <w:szCs w:val="28"/>
        </w:rPr>
        <w:br w:type="page"/>
      </w:r>
      <w:bookmarkStart w:id="47" w:name="_Toc201137031"/>
      <w:r w:rsidRPr="00D4146F">
        <w:rPr>
          <w:b/>
          <w:szCs w:val="28"/>
        </w:rPr>
        <w:lastRenderedPageBreak/>
        <w:t xml:space="preserve">Appendix A:  </w:t>
      </w:r>
      <w:bookmarkEnd w:id="43"/>
      <w:bookmarkEnd w:id="44"/>
      <w:bookmarkEnd w:id="45"/>
      <w:r w:rsidR="00D33ABB" w:rsidRPr="00D4146F">
        <w:rPr>
          <w:b/>
          <w:szCs w:val="28"/>
        </w:rPr>
        <w:t>Embedded Assessment Documents</w:t>
      </w:r>
      <w:bookmarkEnd w:id="46"/>
      <w:bookmarkEnd w:id="47"/>
    </w:p>
    <w:p w14:paraId="2242BBC6" w14:textId="77777777" w:rsidR="00924D52" w:rsidRPr="00D87B18" w:rsidRDefault="00924D52"/>
    <w:p w14:paraId="752A6F5F" w14:textId="77777777" w:rsidR="00D33ABB" w:rsidRPr="00D87B18" w:rsidRDefault="00D33ABB" w:rsidP="00D33ABB">
      <w:pPr>
        <w:ind w:left="935" w:hanging="935"/>
      </w:pPr>
      <w:r w:rsidRPr="00D87B18">
        <w:rPr>
          <w:b/>
        </w:rPr>
        <w:t>NOTE</w:t>
      </w:r>
      <w:r w:rsidRPr="00D87B18">
        <w:t>:</w:t>
      </w:r>
      <w:r w:rsidRPr="00D87B18">
        <w:tab/>
        <w:t>Instead of including many pages of documents showing examples of data collection tools, rubrics, etc. We have embedded sample documents below.  If you are viewing a printed version of this document, you will not have these documents in printed form.  To view the documents, you need access to the electronic version of this file.  Then, simply double-click on a document icon to view it.</w:t>
      </w:r>
    </w:p>
    <w:p w14:paraId="77FF848C" w14:textId="77777777" w:rsidR="00D33ABB" w:rsidRPr="00D87B18" w:rsidRDefault="00D33ABB"/>
    <w:tbl>
      <w:tblPr>
        <w:tblStyle w:val="TableGrid1"/>
        <w:tblW w:w="9271" w:type="dxa"/>
        <w:jc w:val="center"/>
        <w:tblLook w:val="01E0" w:firstRow="1" w:lastRow="1" w:firstColumn="1" w:lastColumn="1" w:noHBand="0" w:noVBand="0"/>
        <w:tblCaption w:val="Sample Document Description/Purpose"/>
        <w:tblDescription w:val="2-1 Learning Obj Assess Results document"/>
      </w:tblPr>
      <w:tblGrid>
        <w:gridCol w:w="6279"/>
        <w:gridCol w:w="2992"/>
      </w:tblGrid>
      <w:tr w:rsidR="00D33ABB" w:rsidRPr="001B79BB" w14:paraId="4F6C079D" w14:textId="77777777" w:rsidTr="00B77E83">
        <w:trPr>
          <w:tblHeader/>
          <w:jc w:val="center"/>
        </w:trPr>
        <w:tc>
          <w:tcPr>
            <w:tcW w:w="6279" w:type="dxa"/>
          </w:tcPr>
          <w:p w14:paraId="208CE493" w14:textId="77777777" w:rsidR="00D33ABB" w:rsidRPr="001B79BB" w:rsidRDefault="00D33ABB" w:rsidP="00BF3711">
            <w:pPr>
              <w:jc w:val="center"/>
              <w:rPr>
                <w:b/>
              </w:rPr>
            </w:pPr>
            <w:r w:rsidRPr="001B79BB">
              <w:rPr>
                <w:b/>
              </w:rPr>
              <w:t>Sample Document Description / Purpose</w:t>
            </w:r>
          </w:p>
        </w:tc>
        <w:tc>
          <w:tcPr>
            <w:cnfStyle w:val="000100000000" w:firstRow="0" w:lastRow="0" w:firstColumn="0" w:lastColumn="1" w:oddVBand="0" w:evenVBand="0" w:oddHBand="0" w:evenHBand="0" w:firstRowFirstColumn="0" w:firstRowLastColumn="0" w:lastRowFirstColumn="0" w:lastRowLastColumn="0"/>
            <w:tcW w:w="2992" w:type="dxa"/>
          </w:tcPr>
          <w:p w14:paraId="58299CAA" w14:textId="77777777" w:rsidR="00D33ABB" w:rsidRPr="001B79BB" w:rsidRDefault="00D33ABB" w:rsidP="00BF3711">
            <w:pPr>
              <w:jc w:val="center"/>
              <w:rPr>
                <w:b/>
                <w:i w:val="0"/>
                <w:iCs w:val="0"/>
              </w:rPr>
            </w:pPr>
            <w:r w:rsidRPr="001B79BB">
              <w:rPr>
                <w:b/>
                <w:i w:val="0"/>
                <w:iCs w:val="0"/>
              </w:rPr>
              <w:t>Embedded Document Link</w:t>
            </w:r>
          </w:p>
        </w:tc>
      </w:tr>
      <w:tr w:rsidR="00D33ABB" w:rsidRPr="001B79BB" w14:paraId="7AF94748" w14:textId="77777777" w:rsidTr="001B79BB">
        <w:trPr>
          <w:trHeight w:val="1502"/>
          <w:jc w:val="center"/>
        </w:trPr>
        <w:tc>
          <w:tcPr>
            <w:tcW w:w="6279" w:type="dxa"/>
          </w:tcPr>
          <w:p w14:paraId="7E6CF46A" w14:textId="77777777" w:rsidR="008C1BC4" w:rsidRPr="001B79BB" w:rsidRDefault="00070B35">
            <w:r w:rsidRPr="001B79BB">
              <w:t>Attached is t</w:t>
            </w:r>
            <w:r w:rsidR="00CC0132" w:rsidRPr="001B79BB">
              <w:t>he file for Learning Objective 1</w:t>
            </w:r>
            <w:r w:rsidRPr="001B79BB">
              <w:t>.1.</w:t>
            </w:r>
          </w:p>
        </w:tc>
        <w:bookmarkStart w:id="48" w:name="_MON_1243853640"/>
        <w:bookmarkStart w:id="49" w:name="_MON_1243853678"/>
        <w:bookmarkStart w:id="50" w:name="_MON_1243853870"/>
        <w:bookmarkStart w:id="51" w:name="_MON_1243853939"/>
        <w:bookmarkStart w:id="52" w:name="_MON_1244531453"/>
        <w:bookmarkStart w:id="53" w:name="_MON_1252215431"/>
        <w:bookmarkStart w:id="54" w:name="_MON_1224436454"/>
        <w:bookmarkStart w:id="55" w:name="_MON_1224436513"/>
        <w:bookmarkStart w:id="56" w:name="_MON_1243777574"/>
        <w:bookmarkStart w:id="57" w:name="_MON_1243851319"/>
        <w:bookmarkEnd w:id="48"/>
        <w:bookmarkEnd w:id="49"/>
        <w:bookmarkEnd w:id="50"/>
        <w:bookmarkEnd w:id="51"/>
        <w:bookmarkEnd w:id="52"/>
        <w:bookmarkEnd w:id="53"/>
        <w:bookmarkEnd w:id="54"/>
        <w:bookmarkEnd w:id="55"/>
        <w:bookmarkEnd w:id="56"/>
        <w:bookmarkEnd w:id="57"/>
        <w:bookmarkStart w:id="58" w:name="_MON_1243853631"/>
        <w:bookmarkEnd w:id="58"/>
        <w:tc>
          <w:tcPr>
            <w:cnfStyle w:val="000100000000" w:firstRow="0" w:lastRow="0" w:firstColumn="0" w:lastColumn="1" w:oddVBand="0" w:evenVBand="0" w:oddHBand="0" w:evenHBand="0" w:firstRowFirstColumn="0" w:firstRowLastColumn="0" w:lastRowFirstColumn="0" w:lastRowLastColumn="0"/>
            <w:tcW w:w="2992" w:type="dxa"/>
          </w:tcPr>
          <w:p w14:paraId="34E9734E" w14:textId="04A452A7" w:rsidR="00D33ABB" w:rsidRPr="001B79BB" w:rsidRDefault="007B4F6C" w:rsidP="00BF3711">
            <w:pPr>
              <w:jc w:val="center"/>
              <w:rPr>
                <w:i w:val="0"/>
                <w:iCs w:val="0"/>
              </w:rPr>
            </w:pPr>
            <w:r w:rsidRPr="001B79BB">
              <w:rPr>
                <w:i w:val="0"/>
                <w:iCs w:val="0"/>
              </w:rPr>
              <w:object w:dxaOrig="1539" w:dyaOrig="996" w14:anchorId="0A5B03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1 Learning Obj Assess Results" style="width:77.25pt;height:49.5pt" o:ole="" o:bordertopcolor="this" o:borderleftcolor="this" o:borderbottomcolor="this" o:borderrightcolor="this">
                  <v:imagedata r:id="rId14" o:title=""/>
                  <w10:bordertop type="single" width="4" shadow="t"/>
                  <w10:borderleft type="single" width="4" shadow="t"/>
                  <w10:borderbottom type="single" width="4" shadow="t"/>
                  <w10:borderright type="single" width="4" shadow="t"/>
                </v:shape>
                <o:OLEObject Type="Embed" ProgID="Word.Document.8" ShapeID="_x0000_i1025" DrawAspect="Icon" ObjectID="_1807079669" r:id="rId15">
                  <o:FieldCodes>\s</o:FieldCodes>
                </o:OLEObject>
              </w:object>
            </w:r>
          </w:p>
        </w:tc>
      </w:tr>
      <w:tr w:rsidR="004A2AEF" w:rsidRPr="001B79BB" w14:paraId="553A5E74" w14:textId="77777777" w:rsidTr="001B79BB">
        <w:trPr>
          <w:cnfStyle w:val="010000000000" w:firstRow="0" w:lastRow="1" w:firstColumn="0" w:lastColumn="0" w:oddVBand="0" w:evenVBand="0" w:oddHBand="0" w:evenHBand="0" w:firstRowFirstColumn="0" w:firstRowLastColumn="0" w:lastRowFirstColumn="0" w:lastRowLastColumn="0"/>
          <w:trHeight w:val="1502"/>
          <w:jc w:val="center"/>
        </w:trPr>
        <w:tc>
          <w:tcPr>
            <w:tcW w:w="6279" w:type="dxa"/>
          </w:tcPr>
          <w:p w14:paraId="48308E17" w14:textId="77777777" w:rsidR="004A2AEF" w:rsidRPr="001B79BB" w:rsidRDefault="004A2AEF">
            <w:pPr>
              <w:rPr>
                <w:i w:val="0"/>
                <w:iCs w:val="0"/>
              </w:rPr>
            </w:pPr>
          </w:p>
        </w:tc>
        <w:tc>
          <w:tcPr>
            <w:cnfStyle w:val="000100000000" w:firstRow="0" w:lastRow="0" w:firstColumn="0" w:lastColumn="1" w:oddVBand="0" w:evenVBand="0" w:oddHBand="0" w:evenHBand="0" w:firstRowFirstColumn="0" w:firstRowLastColumn="0" w:lastRowFirstColumn="0" w:lastRowLastColumn="0"/>
            <w:tcW w:w="2992" w:type="dxa"/>
          </w:tcPr>
          <w:p w14:paraId="09C7E8CB" w14:textId="77777777" w:rsidR="004A2AEF" w:rsidRPr="001B79BB" w:rsidRDefault="004A2AEF" w:rsidP="00BF3711">
            <w:pPr>
              <w:jc w:val="center"/>
              <w:rPr>
                <w:i w:val="0"/>
                <w:iCs w:val="0"/>
              </w:rPr>
            </w:pPr>
          </w:p>
        </w:tc>
      </w:tr>
    </w:tbl>
    <w:p w14:paraId="3B467683" w14:textId="77777777" w:rsidR="00D33ABB" w:rsidRPr="00D87B18" w:rsidRDefault="00D33ABB"/>
    <w:p w14:paraId="193D486C" w14:textId="77777777" w:rsidR="00D33ABB" w:rsidRPr="00D33ABB" w:rsidRDefault="0005166E">
      <w:r w:rsidRPr="00D87B18">
        <w:t>**More documents will be added as archived files are gathered and organized by the 2006-2007 CBPP Assessment Committee.</w:t>
      </w:r>
    </w:p>
    <w:sectPr w:rsidR="00D33ABB" w:rsidRPr="00D33ABB" w:rsidSect="00933EF7">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2BB4F" w14:textId="77777777" w:rsidR="00907DFF" w:rsidRDefault="00907DFF">
      <w:r>
        <w:separator/>
      </w:r>
    </w:p>
  </w:endnote>
  <w:endnote w:type="continuationSeparator" w:id="0">
    <w:p w14:paraId="27A1F93D" w14:textId="77777777" w:rsidR="00907DFF" w:rsidRDefault="0090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ylus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E073" w14:textId="0B8FE7EB" w:rsidR="00532140" w:rsidRDefault="00532140" w:rsidP="00124D91">
    <w:pPr>
      <w:pStyle w:val="Footer"/>
      <w:tabs>
        <w:tab w:val="clear" w:pos="4320"/>
        <w:tab w:val="clear" w:pos="8640"/>
      </w:tabs>
      <w:jc w:val="center"/>
      <w:rPr>
        <w:sz w:val="18"/>
        <w:szCs w:val="18"/>
      </w:rPr>
    </w:pPr>
    <w:r>
      <w:rPr>
        <w:sz w:val="18"/>
        <w:szCs w:val="18"/>
      </w:rPr>
      <w:fldChar w:fldCharType="begin"/>
    </w:r>
    <w:r>
      <w:rPr>
        <w:sz w:val="18"/>
        <w:szCs w:val="18"/>
      </w:rPr>
      <w:instrText xml:space="preserve"> FILENAME </w:instrText>
    </w:r>
    <w:r>
      <w:rPr>
        <w:sz w:val="18"/>
        <w:szCs w:val="18"/>
      </w:rPr>
      <w:fldChar w:fldCharType="separate"/>
    </w:r>
    <w:r w:rsidR="00246C9A">
      <w:rPr>
        <w:noProof/>
        <w:sz w:val="18"/>
        <w:szCs w:val="18"/>
      </w:rPr>
      <w:t>2024_AAP_Public-Administration_MPA_CBPP</w:t>
    </w:r>
    <w:r>
      <w:rPr>
        <w:sz w:val="18"/>
        <w:szCs w:val="18"/>
      </w:rPr>
      <w:fldChar w:fldCharType="end"/>
    </w:r>
    <w:r w:rsidR="00246C9A">
      <w:rPr>
        <w:sz w:val="18"/>
        <w:szCs w:val="18"/>
      </w:rPr>
      <w:tab/>
    </w:r>
    <w:r>
      <w:rPr>
        <w:sz w:val="18"/>
        <w:szCs w:val="18"/>
      </w:rPr>
      <w:tab/>
    </w:r>
    <w:r w:rsidR="00246C9A">
      <w:rPr>
        <w:sz w:val="18"/>
        <w:szCs w:val="18"/>
      </w:rPr>
      <w:tab/>
    </w: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B77E83">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77E83">
      <w:rPr>
        <w:noProof/>
        <w:sz w:val="18"/>
        <w:szCs w:val="18"/>
      </w:rPr>
      <w:t>16</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8F20" w14:textId="3AB6E9D8" w:rsidR="00532140" w:rsidRPr="008545C8" w:rsidRDefault="00532140" w:rsidP="00AA758D">
    <w:pPr>
      <w:pStyle w:val="Footer"/>
      <w:tabs>
        <w:tab w:val="clear" w:pos="4320"/>
        <w:tab w:val="clear" w:pos="8640"/>
        <w:tab w:val="left" w:pos="2713"/>
      </w:tabs>
      <w:jc w:val="center"/>
      <w:rPr>
        <w:sz w:val="18"/>
        <w:szCs w:val="18"/>
      </w:rPr>
    </w:pPr>
    <w:r w:rsidRPr="00AA758D">
      <w:rPr>
        <w:sz w:val="18"/>
        <w:szCs w:val="18"/>
      </w:rPr>
      <w:fldChar w:fldCharType="begin"/>
    </w:r>
    <w:r w:rsidRPr="00AA758D">
      <w:rPr>
        <w:sz w:val="18"/>
        <w:szCs w:val="18"/>
      </w:rPr>
      <w:instrText xml:space="preserve"> FILENAME </w:instrText>
    </w:r>
    <w:r w:rsidRPr="00AA758D">
      <w:rPr>
        <w:sz w:val="18"/>
        <w:szCs w:val="18"/>
      </w:rPr>
      <w:fldChar w:fldCharType="separate"/>
    </w:r>
    <w:r>
      <w:rPr>
        <w:noProof/>
        <w:sz w:val="18"/>
        <w:szCs w:val="18"/>
      </w:rPr>
      <w:t>CBPP_PublicAdministration_MPA_Plan_6-20-08.doc</w:t>
    </w:r>
    <w:r w:rsidRPr="00AA758D">
      <w:rPr>
        <w:sz w:val="18"/>
        <w:szCs w:val="18"/>
      </w:rPr>
      <w:fldChar w:fldCharType="end"/>
    </w:r>
    <w:r w:rsidRPr="008545C8">
      <w:rPr>
        <w:sz w:val="18"/>
        <w:szCs w:val="18"/>
      </w:rPr>
      <w:tab/>
    </w:r>
    <w:r>
      <w:rPr>
        <w:sz w:val="18"/>
        <w:szCs w:val="18"/>
      </w:rPr>
      <w:tab/>
      <w:t>Submitted 6-20-08</w:t>
    </w:r>
    <w:r>
      <w:rPr>
        <w:sz w:val="18"/>
        <w:szCs w:val="18"/>
      </w:rPr>
      <w:tab/>
    </w:r>
    <w:r w:rsidRPr="008545C8">
      <w:rPr>
        <w:sz w:val="18"/>
        <w:szCs w:val="18"/>
      </w:rPr>
      <w:tab/>
      <w:t xml:space="preserve">Page </w:t>
    </w:r>
    <w:r w:rsidRPr="008545C8">
      <w:rPr>
        <w:sz w:val="18"/>
        <w:szCs w:val="18"/>
      </w:rPr>
      <w:fldChar w:fldCharType="begin"/>
    </w:r>
    <w:r w:rsidRPr="008545C8">
      <w:rPr>
        <w:sz w:val="18"/>
        <w:szCs w:val="18"/>
      </w:rPr>
      <w:instrText xml:space="preserve"> PAGE </w:instrText>
    </w:r>
    <w:r w:rsidRPr="008545C8">
      <w:rPr>
        <w:sz w:val="18"/>
        <w:szCs w:val="18"/>
      </w:rPr>
      <w:fldChar w:fldCharType="separate"/>
    </w:r>
    <w:r w:rsidR="00B77E83">
      <w:rPr>
        <w:noProof/>
        <w:sz w:val="18"/>
        <w:szCs w:val="18"/>
      </w:rPr>
      <w:t>2</w:t>
    </w:r>
    <w:r w:rsidRPr="008545C8">
      <w:rPr>
        <w:sz w:val="18"/>
        <w:szCs w:val="18"/>
      </w:rPr>
      <w:fldChar w:fldCharType="end"/>
    </w:r>
    <w:r w:rsidRPr="008545C8">
      <w:rPr>
        <w:sz w:val="18"/>
        <w:szCs w:val="18"/>
      </w:rPr>
      <w:t xml:space="preserve"> of </w:t>
    </w:r>
    <w:r w:rsidRPr="008545C8">
      <w:rPr>
        <w:sz w:val="18"/>
        <w:szCs w:val="18"/>
      </w:rPr>
      <w:fldChar w:fldCharType="begin"/>
    </w:r>
    <w:r w:rsidRPr="008545C8">
      <w:rPr>
        <w:sz w:val="18"/>
        <w:szCs w:val="18"/>
      </w:rPr>
      <w:instrText xml:space="preserve"> NUMPAGES </w:instrText>
    </w:r>
    <w:r w:rsidRPr="008545C8">
      <w:rPr>
        <w:sz w:val="18"/>
        <w:szCs w:val="18"/>
      </w:rPr>
      <w:fldChar w:fldCharType="separate"/>
    </w:r>
    <w:r w:rsidR="00B77E83">
      <w:rPr>
        <w:noProof/>
        <w:sz w:val="18"/>
        <w:szCs w:val="18"/>
      </w:rPr>
      <w:t>16</w:t>
    </w:r>
    <w:r w:rsidRPr="008545C8">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3023F" w14:textId="6325D764" w:rsidR="00532140" w:rsidRPr="008545C8" w:rsidRDefault="00532140" w:rsidP="00AA758D">
    <w:pPr>
      <w:pStyle w:val="Footer"/>
      <w:tabs>
        <w:tab w:val="clear" w:pos="4320"/>
        <w:tab w:val="clear" w:pos="8640"/>
        <w:tab w:val="left" w:pos="2713"/>
      </w:tabs>
      <w:jc w:val="center"/>
      <w:rPr>
        <w:sz w:val="18"/>
        <w:szCs w:val="18"/>
      </w:rPr>
    </w:pPr>
    <w:r w:rsidRPr="00AA758D">
      <w:rPr>
        <w:sz w:val="18"/>
        <w:szCs w:val="18"/>
      </w:rPr>
      <w:fldChar w:fldCharType="begin"/>
    </w:r>
    <w:r w:rsidRPr="00AA758D">
      <w:rPr>
        <w:sz w:val="18"/>
        <w:szCs w:val="18"/>
      </w:rPr>
      <w:instrText xml:space="preserve"> FILENAME </w:instrText>
    </w:r>
    <w:r w:rsidRPr="00AA758D">
      <w:rPr>
        <w:sz w:val="18"/>
        <w:szCs w:val="18"/>
      </w:rPr>
      <w:fldChar w:fldCharType="separate"/>
    </w:r>
    <w:r>
      <w:rPr>
        <w:noProof/>
        <w:sz w:val="18"/>
        <w:szCs w:val="18"/>
      </w:rPr>
      <w:t>CBPP_PublicAdministration_MPA_Plan_6-20-08.doc</w:t>
    </w:r>
    <w:r w:rsidRPr="00AA758D">
      <w:rPr>
        <w:sz w:val="18"/>
        <w:szCs w:val="18"/>
      </w:rPr>
      <w:fldChar w:fldCharType="end"/>
    </w:r>
    <w:r w:rsidRPr="008545C8">
      <w:rPr>
        <w:sz w:val="18"/>
        <w:szCs w:val="18"/>
      </w:rPr>
      <w:tab/>
    </w:r>
    <w:r>
      <w:rPr>
        <w:sz w:val="18"/>
        <w:szCs w:val="18"/>
      </w:rPr>
      <w:tab/>
      <w:t>Submitted 6-20-08</w:t>
    </w:r>
    <w:r>
      <w:rPr>
        <w:sz w:val="18"/>
        <w:szCs w:val="18"/>
      </w:rPr>
      <w:tab/>
    </w:r>
    <w:r w:rsidRPr="008545C8">
      <w:rPr>
        <w:sz w:val="18"/>
        <w:szCs w:val="18"/>
      </w:rPr>
      <w:tab/>
      <w:t xml:space="preserve">Page </w:t>
    </w:r>
    <w:r w:rsidRPr="008545C8">
      <w:rPr>
        <w:sz w:val="18"/>
        <w:szCs w:val="18"/>
      </w:rPr>
      <w:fldChar w:fldCharType="begin"/>
    </w:r>
    <w:r w:rsidRPr="008545C8">
      <w:rPr>
        <w:sz w:val="18"/>
        <w:szCs w:val="18"/>
      </w:rPr>
      <w:instrText xml:space="preserve"> PAGE </w:instrText>
    </w:r>
    <w:r w:rsidRPr="008545C8">
      <w:rPr>
        <w:sz w:val="18"/>
        <w:szCs w:val="18"/>
      </w:rPr>
      <w:fldChar w:fldCharType="separate"/>
    </w:r>
    <w:r w:rsidR="00B77E83">
      <w:rPr>
        <w:noProof/>
        <w:sz w:val="18"/>
        <w:szCs w:val="18"/>
      </w:rPr>
      <w:t>14</w:t>
    </w:r>
    <w:r w:rsidRPr="008545C8">
      <w:rPr>
        <w:sz w:val="18"/>
        <w:szCs w:val="18"/>
      </w:rPr>
      <w:fldChar w:fldCharType="end"/>
    </w:r>
    <w:r w:rsidRPr="008545C8">
      <w:rPr>
        <w:sz w:val="18"/>
        <w:szCs w:val="18"/>
      </w:rPr>
      <w:t xml:space="preserve"> of </w:t>
    </w:r>
    <w:r w:rsidRPr="008545C8">
      <w:rPr>
        <w:sz w:val="18"/>
        <w:szCs w:val="18"/>
      </w:rPr>
      <w:fldChar w:fldCharType="begin"/>
    </w:r>
    <w:r w:rsidRPr="008545C8">
      <w:rPr>
        <w:sz w:val="18"/>
        <w:szCs w:val="18"/>
      </w:rPr>
      <w:instrText xml:space="preserve"> NUMPAGES </w:instrText>
    </w:r>
    <w:r w:rsidRPr="008545C8">
      <w:rPr>
        <w:sz w:val="18"/>
        <w:szCs w:val="18"/>
      </w:rPr>
      <w:fldChar w:fldCharType="separate"/>
    </w:r>
    <w:r w:rsidR="00B77E83">
      <w:rPr>
        <w:noProof/>
        <w:sz w:val="18"/>
        <w:szCs w:val="18"/>
      </w:rPr>
      <w:t>16</w:t>
    </w:r>
    <w:r w:rsidRPr="008545C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7536E" w14:textId="77777777" w:rsidR="00907DFF" w:rsidRDefault="00907DFF">
      <w:r>
        <w:separator/>
      </w:r>
    </w:p>
  </w:footnote>
  <w:footnote w:type="continuationSeparator" w:id="0">
    <w:p w14:paraId="6455D13A" w14:textId="77777777" w:rsidR="00907DFF" w:rsidRDefault="00907DFF">
      <w:r>
        <w:continuationSeparator/>
      </w:r>
    </w:p>
  </w:footnote>
  <w:footnote w:id="1">
    <w:p w14:paraId="1416A2CE" w14:textId="77777777" w:rsidR="00532140" w:rsidRPr="004E3B14" w:rsidRDefault="00532140">
      <w:pPr>
        <w:pStyle w:val="FootnoteText"/>
        <w:rPr>
          <w:highlight w:val="yellow"/>
        </w:rPr>
      </w:pPr>
      <w:r w:rsidRPr="004E3B14">
        <w:rPr>
          <w:rStyle w:val="FootnoteReference"/>
          <w:highlight w:val="yellow"/>
        </w:rPr>
        <w:footnoteRef/>
      </w:r>
      <w:r w:rsidRPr="004E3B14">
        <w:rPr>
          <w:highlight w:val="yellow"/>
        </w:rPr>
        <w:t xml:space="preserve"> “Transforming Education for Public Service’” National Association of Schools of Public Affairs (NASPAA), working draft 3.24.2007, www.naspaa/org/accreditation/standard2009/guiding.asp.</w:t>
      </w:r>
    </w:p>
  </w:footnote>
  <w:footnote w:id="2">
    <w:p w14:paraId="4370627F" w14:textId="77777777" w:rsidR="00532140" w:rsidRPr="004E3B14" w:rsidRDefault="00532140">
      <w:pPr>
        <w:pStyle w:val="FootnoteText"/>
        <w:rPr>
          <w:highlight w:val="yellow"/>
        </w:rPr>
      </w:pPr>
      <w:r w:rsidRPr="004E3B14">
        <w:rPr>
          <w:rStyle w:val="FootnoteReference"/>
          <w:highlight w:val="yellow"/>
        </w:rPr>
        <w:footnoteRef/>
      </w:r>
      <w:r w:rsidRPr="004E3B14">
        <w:rPr>
          <w:highlight w:val="yellow"/>
        </w:rPr>
        <w:t xml:space="preserve"> This document is based on the MPA Educational Assessment Plan, developed by the Office of Academic Affairs, 2004.</w:t>
      </w:r>
    </w:p>
  </w:footnote>
  <w:footnote w:id="3">
    <w:p w14:paraId="497F7BAD" w14:textId="77777777" w:rsidR="00532140" w:rsidRPr="004E3B14" w:rsidRDefault="00532140" w:rsidP="00152EFF">
      <w:pPr>
        <w:rPr>
          <w:i/>
          <w:iCs/>
          <w:sz w:val="20"/>
          <w:szCs w:val="20"/>
          <w:highlight w:val="yellow"/>
        </w:rPr>
      </w:pPr>
      <w:r w:rsidRPr="004E3B14">
        <w:rPr>
          <w:rStyle w:val="FootnoteReference"/>
          <w:sz w:val="20"/>
          <w:szCs w:val="20"/>
          <w:highlight w:val="yellow"/>
        </w:rPr>
        <w:footnoteRef/>
      </w:r>
      <w:r w:rsidRPr="004E3B14">
        <w:rPr>
          <w:sz w:val="20"/>
          <w:szCs w:val="20"/>
          <w:highlight w:val="yellow"/>
        </w:rPr>
        <w:t xml:space="preserve"> www.uaa.alaska.edu/chancellor/uaa-mission-statement.cfm. Approved by the </w:t>
      </w:r>
      <w:smartTag w:uri="urn:schemas-microsoft-com:office:smarttags" w:element="place">
        <w:smartTag w:uri="urn:schemas-microsoft-com:office:smarttags" w:element="PlaceType">
          <w:r w:rsidRPr="004E3B14">
            <w:rPr>
              <w:sz w:val="20"/>
              <w:szCs w:val="20"/>
              <w:highlight w:val="yellow"/>
            </w:rPr>
            <w:t>University</w:t>
          </w:r>
        </w:smartTag>
        <w:r w:rsidRPr="004E3B14">
          <w:rPr>
            <w:sz w:val="20"/>
            <w:szCs w:val="20"/>
            <w:highlight w:val="yellow"/>
          </w:rPr>
          <w:t xml:space="preserve"> of </w:t>
        </w:r>
        <w:smartTag w:uri="urn:schemas-microsoft-com:office:smarttags" w:element="PlaceName">
          <w:r w:rsidRPr="004E3B14">
            <w:rPr>
              <w:sz w:val="20"/>
              <w:szCs w:val="20"/>
              <w:highlight w:val="yellow"/>
            </w:rPr>
            <w:t>Alaska</w:t>
          </w:r>
        </w:smartTag>
      </w:smartTag>
      <w:r w:rsidRPr="004E3B14">
        <w:rPr>
          <w:sz w:val="20"/>
          <w:szCs w:val="20"/>
          <w:highlight w:val="yellow"/>
        </w:rPr>
        <w:t xml:space="preserve"> Board of Regents September 19, 2007</w:t>
      </w:r>
    </w:p>
  </w:footnote>
  <w:footnote w:id="4">
    <w:p w14:paraId="3AB87803" w14:textId="77777777" w:rsidR="00532140" w:rsidRPr="004E3B14" w:rsidRDefault="00532140">
      <w:pPr>
        <w:pStyle w:val="FootnoteText"/>
        <w:rPr>
          <w:highlight w:val="yellow"/>
        </w:rPr>
      </w:pPr>
      <w:r w:rsidRPr="004E3B14">
        <w:rPr>
          <w:rStyle w:val="FootnoteReference"/>
          <w:highlight w:val="yellow"/>
        </w:rPr>
        <w:footnoteRef/>
      </w:r>
      <w:r w:rsidRPr="004E3B14">
        <w:rPr>
          <w:highlight w:val="yellow"/>
        </w:rPr>
        <w:t xml:space="preserve"> www.cbpp.uaa.alaska.edu/mission.asp</w:t>
      </w:r>
    </w:p>
  </w:footnote>
  <w:footnote w:id="5">
    <w:p w14:paraId="51E0CE99" w14:textId="77777777" w:rsidR="00532140" w:rsidRDefault="00532140">
      <w:pPr>
        <w:pStyle w:val="FootnoteText"/>
      </w:pPr>
      <w:r w:rsidRPr="004E3B14">
        <w:rPr>
          <w:rStyle w:val="FootnoteReference"/>
          <w:highlight w:val="yellow"/>
        </w:rPr>
        <w:footnoteRef/>
      </w:r>
      <w:r w:rsidRPr="004E3B14">
        <w:rPr>
          <w:highlight w:val="yellow"/>
        </w:rPr>
        <w:t xml:space="preserve"> Cyclic Program Review, University of Alaska, College of Business and Public Policy, Department of Public Administration, June 15, 2006.</w:t>
      </w:r>
    </w:p>
  </w:footnote>
  <w:footnote w:id="6">
    <w:p w14:paraId="3862B6AC" w14:textId="77777777" w:rsidR="00532140" w:rsidRPr="004E3B14" w:rsidRDefault="00532140" w:rsidP="00D83D21">
      <w:pPr>
        <w:autoSpaceDE w:val="0"/>
        <w:autoSpaceDN w:val="0"/>
        <w:adjustRightInd w:val="0"/>
        <w:rPr>
          <w:sz w:val="20"/>
          <w:szCs w:val="20"/>
          <w:highlight w:val="yellow"/>
        </w:rPr>
      </w:pPr>
      <w:r w:rsidRPr="004E3B14">
        <w:rPr>
          <w:rStyle w:val="FootnoteReference"/>
          <w:sz w:val="20"/>
          <w:szCs w:val="20"/>
          <w:highlight w:val="yellow"/>
        </w:rPr>
        <w:footnoteRef/>
      </w:r>
      <w:r w:rsidRPr="004E3B14">
        <w:rPr>
          <w:sz w:val="20"/>
          <w:szCs w:val="20"/>
          <w:highlight w:val="yellow"/>
        </w:rPr>
        <w:t xml:space="preserve"> “NASPAA self-study template” Curriculum Standard 4.0 Section 4.23 General Competencies</w:t>
      </w:r>
      <w:r w:rsidRPr="004E3B14">
        <w:rPr>
          <w:rFonts w:eastAsia="MS Mincho"/>
          <w:sz w:val="20"/>
          <w:szCs w:val="20"/>
          <w:highlight w:val="yellow"/>
          <w:lang w:eastAsia="ja-JP"/>
        </w:rPr>
        <w:t xml:space="preserve"> </w:t>
      </w:r>
    </w:p>
  </w:footnote>
  <w:footnote w:id="7">
    <w:p w14:paraId="3E06BE53" w14:textId="77777777" w:rsidR="00532140" w:rsidRPr="004E3B14" w:rsidRDefault="00532140" w:rsidP="00D83D21">
      <w:pPr>
        <w:pStyle w:val="FootnoteText"/>
        <w:rPr>
          <w:highlight w:val="yellow"/>
        </w:rPr>
      </w:pPr>
      <w:r w:rsidRPr="004E3B14">
        <w:rPr>
          <w:rStyle w:val="FootnoteReference"/>
          <w:highlight w:val="yellow"/>
        </w:rPr>
        <w:footnoteRef/>
      </w:r>
      <w:r w:rsidRPr="004E3B14">
        <w:rPr>
          <w:highlight w:val="yellow"/>
        </w:rPr>
        <w:t xml:space="preserve"> “Competencies and Learning Objectives.” A Technician assistance document prepared for accreditation efforts of programs and schools of public health, circulated by UAA Department of Health Sciences, 2007.</w:t>
      </w:r>
    </w:p>
  </w:footnote>
  <w:footnote w:id="8">
    <w:p w14:paraId="23C047D4" w14:textId="77777777" w:rsidR="00532140" w:rsidRDefault="00532140">
      <w:pPr>
        <w:pStyle w:val="FootnoteText"/>
      </w:pPr>
      <w:r w:rsidRPr="004E3B14">
        <w:rPr>
          <w:rStyle w:val="FootnoteReference"/>
          <w:highlight w:val="yellow"/>
        </w:rPr>
        <w:footnoteRef/>
      </w:r>
      <w:r w:rsidRPr="004E3B14">
        <w:rPr>
          <w:highlight w:val="yellow"/>
        </w:rPr>
        <w:t xml:space="preserve"> “Transforming Education for Public Service’” National Association of Schools of Public Affairs (NASPAA), working draft 3.24.2007, </w:t>
      </w:r>
      <w:hyperlink r:id="rId1" w:history="1">
        <w:r w:rsidRPr="004E3B14">
          <w:rPr>
            <w:rStyle w:val="Hyperlink"/>
            <w:highlight w:val="yellow"/>
          </w:rPr>
          <w:t>www.naspaa/org/accreditation/standard2009/guiding.asp</w:t>
        </w:r>
      </w:hyperlink>
      <w:r w:rsidRPr="004E3B14">
        <w:rPr>
          <w:highlight w:val="yellow"/>
        </w:rPr>
        <w:t>, p2,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1B18"/>
    <w:multiLevelType w:val="hybridMultilevel"/>
    <w:tmpl w:val="38300B80"/>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64F0B1B"/>
    <w:multiLevelType w:val="hybridMultilevel"/>
    <w:tmpl w:val="6EDEAE44"/>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D767337"/>
    <w:multiLevelType w:val="hybridMultilevel"/>
    <w:tmpl w:val="9C1A3B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94ADC"/>
    <w:multiLevelType w:val="hybridMultilevel"/>
    <w:tmpl w:val="4DE85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15:restartNumberingAfterBreak="0">
    <w:nsid w:val="5DD3368C"/>
    <w:multiLevelType w:val="hybridMultilevel"/>
    <w:tmpl w:val="9C726278"/>
    <w:lvl w:ilvl="0" w:tplc="E9389DC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C04C32"/>
    <w:multiLevelType w:val="hybridMultilevel"/>
    <w:tmpl w:val="C3FA0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8E6FE3"/>
    <w:multiLevelType w:val="hybridMultilevel"/>
    <w:tmpl w:val="642A17A4"/>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D212888"/>
    <w:multiLevelType w:val="hybridMultilevel"/>
    <w:tmpl w:val="6B88A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8"/>
  </w:num>
  <w:num w:numId="4">
    <w:abstractNumId w:val="5"/>
  </w:num>
  <w:num w:numId="5">
    <w:abstractNumId w:val="2"/>
  </w:num>
  <w:num w:numId="6">
    <w:abstractNumId w:val="6"/>
  </w:num>
  <w:num w:numId="7">
    <w:abstractNumId w:val="7"/>
  </w:num>
  <w:num w:numId="8">
    <w:abstractNumId w:val="1"/>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D52"/>
    <w:rsid w:val="00031964"/>
    <w:rsid w:val="0005166E"/>
    <w:rsid w:val="00056F76"/>
    <w:rsid w:val="0005770A"/>
    <w:rsid w:val="00070B35"/>
    <w:rsid w:val="00081910"/>
    <w:rsid w:val="00081ABF"/>
    <w:rsid w:val="0009321F"/>
    <w:rsid w:val="00097DF3"/>
    <w:rsid w:val="000A41AA"/>
    <w:rsid w:val="000C7F8D"/>
    <w:rsid w:val="000E0768"/>
    <w:rsid w:val="000E0D99"/>
    <w:rsid w:val="000E3AE2"/>
    <w:rsid w:val="000E4888"/>
    <w:rsid w:val="000F21B0"/>
    <w:rsid w:val="00106A9E"/>
    <w:rsid w:val="00120C1E"/>
    <w:rsid w:val="00122C5E"/>
    <w:rsid w:val="00124D91"/>
    <w:rsid w:val="00146805"/>
    <w:rsid w:val="00152678"/>
    <w:rsid w:val="00152EFF"/>
    <w:rsid w:val="00155CF1"/>
    <w:rsid w:val="001577EF"/>
    <w:rsid w:val="00167FEE"/>
    <w:rsid w:val="001802D0"/>
    <w:rsid w:val="00183F09"/>
    <w:rsid w:val="00191DD5"/>
    <w:rsid w:val="00194DDA"/>
    <w:rsid w:val="001B79BB"/>
    <w:rsid w:val="001B7FBE"/>
    <w:rsid w:val="001C36AD"/>
    <w:rsid w:val="001D0AD0"/>
    <w:rsid w:val="001F3F48"/>
    <w:rsid w:val="002156EA"/>
    <w:rsid w:val="00221096"/>
    <w:rsid w:val="00235197"/>
    <w:rsid w:val="002459A3"/>
    <w:rsid w:val="00246C9A"/>
    <w:rsid w:val="002641A2"/>
    <w:rsid w:val="00285E3F"/>
    <w:rsid w:val="00297BAE"/>
    <w:rsid w:val="002B4958"/>
    <w:rsid w:val="002C7B65"/>
    <w:rsid w:val="002D74E6"/>
    <w:rsid w:val="003647E6"/>
    <w:rsid w:val="00365789"/>
    <w:rsid w:val="00371815"/>
    <w:rsid w:val="003834AD"/>
    <w:rsid w:val="003915E6"/>
    <w:rsid w:val="003B6717"/>
    <w:rsid w:val="003F2D85"/>
    <w:rsid w:val="00401DCE"/>
    <w:rsid w:val="004068EE"/>
    <w:rsid w:val="00406C4A"/>
    <w:rsid w:val="0042077C"/>
    <w:rsid w:val="00425F2A"/>
    <w:rsid w:val="004459ED"/>
    <w:rsid w:val="00462F24"/>
    <w:rsid w:val="00473517"/>
    <w:rsid w:val="0049103B"/>
    <w:rsid w:val="00493396"/>
    <w:rsid w:val="004A2AEF"/>
    <w:rsid w:val="004A3386"/>
    <w:rsid w:val="004A3C16"/>
    <w:rsid w:val="004A696C"/>
    <w:rsid w:val="004B751B"/>
    <w:rsid w:val="004C26F5"/>
    <w:rsid w:val="004D3E49"/>
    <w:rsid w:val="004E2481"/>
    <w:rsid w:val="004E3B14"/>
    <w:rsid w:val="00502E7E"/>
    <w:rsid w:val="00516409"/>
    <w:rsid w:val="00516EC3"/>
    <w:rsid w:val="00532140"/>
    <w:rsid w:val="005327E1"/>
    <w:rsid w:val="00532D3E"/>
    <w:rsid w:val="005419D4"/>
    <w:rsid w:val="00541B23"/>
    <w:rsid w:val="0054424D"/>
    <w:rsid w:val="00546523"/>
    <w:rsid w:val="00550719"/>
    <w:rsid w:val="00577459"/>
    <w:rsid w:val="005A73F3"/>
    <w:rsid w:val="005B1058"/>
    <w:rsid w:val="005B4105"/>
    <w:rsid w:val="005D2D0F"/>
    <w:rsid w:val="005E380B"/>
    <w:rsid w:val="005F2154"/>
    <w:rsid w:val="005F233F"/>
    <w:rsid w:val="00605C8B"/>
    <w:rsid w:val="00611912"/>
    <w:rsid w:val="00612331"/>
    <w:rsid w:val="0061629C"/>
    <w:rsid w:val="006204B4"/>
    <w:rsid w:val="00620C40"/>
    <w:rsid w:val="00630F78"/>
    <w:rsid w:val="00632A4E"/>
    <w:rsid w:val="00641647"/>
    <w:rsid w:val="006417E2"/>
    <w:rsid w:val="00672468"/>
    <w:rsid w:val="0067596A"/>
    <w:rsid w:val="006917BC"/>
    <w:rsid w:val="006977DA"/>
    <w:rsid w:val="006A49D9"/>
    <w:rsid w:val="006E5030"/>
    <w:rsid w:val="006F7AA5"/>
    <w:rsid w:val="00704ADA"/>
    <w:rsid w:val="00705C14"/>
    <w:rsid w:val="00707CAE"/>
    <w:rsid w:val="007145D7"/>
    <w:rsid w:val="00720C0D"/>
    <w:rsid w:val="0073351B"/>
    <w:rsid w:val="0073743B"/>
    <w:rsid w:val="007477BB"/>
    <w:rsid w:val="007543E7"/>
    <w:rsid w:val="00756C83"/>
    <w:rsid w:val="00763E14"/>
    <w:rsid w:val="0076783D"/>
    <w:rsid w:val="00772491"/>
    <w:rsid w:val="00772A36"/>
    <w:rsid w:val="00773E80"/>
    <w:rsid w:val="0078502D"/>
    <w:rsid w:val="00793C89"/>
    <w:rsid w:val="00796EE0"/>
    <w:rsid w:val="00797773"/>
    <w:rsid w:val="007B4F6C"/>
    <w:rsid w:val="007C5270"/>
    <w:rsid w:val="007C6F51"/>
    <w:rsid w:val="007D2B09"/>
    <w:rsid w:val="007D6637"/>
    <w:rsid w:val="007E2FA4"/>
    <w:rsid w:val="00826972"/>
    <w:rsid w:val="008545C8"/>
    <w:rsid w:val="00870DA4"/>
    <w:rsid w:val="008812D9"/>
    <w:rsid w:val="00894614"/>
    <w:rsid w:val="00897AB3"/>
    <w:rsid w:val="008A45C1"/>
    <w:rsid w:val="008A7A7D"/>
    <w:rsid w:val="008C1BC4"/>
    <w:rsid w:val="008D52BC"/>
    <w:rsid w:val="008F026F"/>
    <w:rsid w:val="008F0FFD"/>
    <w:rsid w:val="008F537C"/>
    <w:rsid w:val="00905592"/>
    <w:rsid w:val="00907DFF"/>
    <w:rsid w:val="009146AD"/>
    <w:rsid w:val="00917069"/>
    <w:rsid w:val="00920F81"/>
    <w:rsid w:val="00924D52"/>
    <w:rsid w:val="00933EF7"/>
    <w:rsid w:val="00936A20"/>
    <w:rsid w:val="009414FC"/>
    <w:rsid w:val="0095009C"/>
    <w:rsid w:val="009551A7"/>
    <w:rsid w:val="009715C6"/>
    <w:rsid w:val="00985997"/>
    <w:rsid w:val="00987EB0"/>
    <w:rsid w:val="009A1B9F"/>
    <w:rsid w:val="009A2C71"/>
    <w:rsid w:val="009B0772"/>
    <w:rsid w:val="009D1C4C"/>
    <w:rsid w:val="009E1CA2"/>
    <w:rsid w:val="00A007BA"/>
    <w:rsid w:val="00A00F58"/>
    <w:rsid w:val="00A03FFF"/>
    <w:rsid w:val="00A070A5"/>
    <w:rsid w:val="00A200B5"/>
    <w:rsid w:val="00A25A6D"/>
    <w:rsid w:val="00A37E83"/>
    <w:rsid w:val="00A504BB"/>
    <w:rsid w:val="00A571DB"/>
    <w:rsid w:val="00A62F8E"/>
    <w:rsid w:val="00A72AD8"/>
    <w:rsid w:val="00AA758D"/>
    <w:rsid w:val="00AD31EE"/>
    <w:rsid w:val="00AF237C"/>
    <w:rsid w:val="00AF386F"/>
    <w:rsid w:val="00B16A2D"/>
    <w:rsid w:val="00B30218"/>
    <w:rsid w:val="00B40369"/>
    <w:rsid w:val="00B410F8"/>
    <w:rsid w:val="00B47F7F"/>
    <w:rsid w:val="00B631D5"/>
    <w:rsid w:val="00B64E3D"/>
    <w:rsid w:val="00B77E83"/>
    <w:rsid w:val="00B84FFD"/>
    <w:rsid w:val="00BB57A7"/>
    <w:rsid w:val="00BB670E"/>
    <w:rsid w:val="00BB7FD9"/>
    <w:rsid w:val="00BC0E9F"/>
    <w:rsid w:val="00BE7A88"/>
    <w:rsid w:val="00BF3711"/>
    <w:rsid w:val="00C03AB2"/>
    <w:rsid w:val="00C050D4"/>
    <w:rsid w:val="00C06539"/>
    <w:rsid w:val="00C06E1C"/>
    <w:rsid w:val="00C169C5"/>
    <w:rsid w:val="00C259CD"/>
    <w:rsid w:val="00C2665E"/>
    <w:rsid w:val="00C358A5"/>
    <w:rsid w:val="00C40658"/>
    <w:rsid w:val="00C41D48"/>
    <w:rsid w:val="00C618BE"/>
    <w:rsid w:val="00C66220"/>
    <w:rsid w:val="00CA53E2"/>
    <w:rsid w:val="00CC0132"/>
    <w:rsid w:val="00CC0C1F"/>
    <w:rsid w:val="00CC65B9"/>
    <w:rsid w:val="00CF3621"/>
    <w:rsid w:val="00D10C4C"/>
    <w:rsid w:val="00D2117F"/>
    <w:rsid w:val="00D33ABB"/>
    <w:rsid w:val="00D37BDA"/>
    <w:rsid w:val="00D4146F"/>
    <w:rsid w:val="00D5157F"/>
    <w:rsid w:val="00D641C4"/>
    <w:rsid w:val="00D77D9E"/>
    <w:rsid w:val="00D83D21"/>
    <w:rsid w:val="00D87B18"/>
    <w:rsid w:val="00D9215B"/>
    <w:rsid w:val="00DA0BD9"/>
    <w:rsid w:val="00DA0E98"/>
    <w:rsid w:val="00DA4226"/>
    <w:rsid w:val="00DB17EB"/>
    <w:rsid w:val="00DB3680"/>
    <w:rsid w:val="00DB627B"/>
    <w:rsid w:val="00DC2A3F"/>
    <w:rsid w:val="00DF0E90"/>
    <w:rsid w:val="00DF7A8D"/>
    <w:rsid w:val="00E06207"/>
    <w:rsid w:val="00E12FE2"/>
    <w:rsid w:val="00E204B5"/>
    <w:rsid w:val="00E27F0A"/>
    <w:rsid w:val="00E454B7"/>
    <w:rsid w:val="00E51EEA"/>
    <w:rsid w:val="00E53B14"/>
    <w:rsid w:val="00E6104C"/>
    <w:rsid w:val="00E834B6"/>
    <w:rsid w:val="00E95CEA"/>
    <w:rsid w:val="00EA363E"/>
    <w:rsid w:val="00ED6738"/>
    <w:rsid w:val="00EE252A"/>
    <w:rsid w:val="00EE2D2F"/>
    <w:rsid w:val="00EF454A"/>
    <w:rsid w:val="00F115A0"/>
    <w:rsid w:val="00F16DB7"/>
    <w:rsid w:val="00F24D3E"/>
    <w:rsid w:val="00F35958"/>
    <w:rsid w:val="00F523EB"/>
    <w:rsid w:val="00F603AD"/>
    <w:rsid w:val="00F60BAC"/>
    <w:rsid w:val="00F63C1B"/>
    <w:rsid w:val="00F66CCA"/>
    <w:rsid w:val="00F743A6"/>
    <w:rsid w:val="00F808BF"/>
    <w:rsid w:val="00F87FFB"/>
    <w:rsid w:val="00F9122C"/>
    <w:rsid w:val="00F947C0"/>
    <w:rsid w:val="00FC7592"/>
    <w:rsid w:val="00FE5454"/>
    <w:rsid w:val="00FE5C14"/>
    <w:rsid w:val="00FF5404"/>
    <w:rsid w:val="00FF64F1"/>
    <w:rsid w:val="00FF6D03"/>
    <w:rsid w:val="00FF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hapeDefaults>
    <o:shapedefaults v:ext="edit" spidmax="2051"/>
    <o:shapelayout v:ext="edit">
      <o:idmap v:ext="edit" data="2"/>
    </o:shapelayout>
  </w:shapeDefaults>
  <w:decimalSymbol w:val="."/>
  <w:listSeparator w:val=","/>
  <w14:docId w14:val="79B96736"/>
  <w15:chartTrackingRefBased/>
  <w15:docId w15:val="{8EC137C5-04C0-444B-BE71-22F18D06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spacing w:line="0" w:lineRule="atLeast"/>
      <w:jc w:val="center"/>
      <w:outlineLvl w:val="0"/>
    </w:pPr>
    <w:rPr>
      <w:rFonts w:ascii="Stylus BT" w:hAnsi="Stylus BT"/>
      <w:b/>
      <w:sz w:val="28"/>
      <w:szCs w:val="20"/>
    </w:rPr>
  </w:style>
  <w:style w:type="paragraph" w:styleId="Heading2">
    <w:name w:val="heading 2"/>
    <w:basedOn w:val="Normal"/>
    <w:next w:val="Normal"/>
    <w:link w:val="Heading2Char"/>
    <w:qFormat/>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74"/>
    </w:pPr>
  </w:style>
  <w:style w:type="paragraph" w:styleId="Title">
    <w:name w:val="Title"/>
    <w:basedOn w:val="Normal"/>
    <w:qFormat/>
    <w:pPr>
      <w:jc w:val="center"/>
    </w:pPr>
    <w:rPr>
      <w:b/>
      <w:sz w:val="28"/>
      <w:szCs w:val="20"/>
    </w:rPr>
  </w:style>
  <w:style w:type="character" w:styleId="Hyperlink">
    <w:name w:val="Hyperlink"/>
    <w:basedOn w:val="DefaultParagraphFont"/>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basedOn w:val="DefaultParagraphFont"/>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semiHidden/>
    <w:pPr>
      <w:spacing w:before="120"/>
    </w:pPr>
    <w:rPr>
      <w:b/>
      <w:bCs/>
      <w:i/>
      <w:iCs/>
    </w:rPr>
  </w:style>
  <w:style w:type="paragraph" w:styleId="TOC2">
    <w:name w:val="toc 2"/>
    <w:basedOn w:val="Normal"/>
    <w:next w:val="Normal"/>
    <w:autoRedefine/>
    <w:semiHidden/>
    <w:pPr>
      <w:spacing w:before="120"/>
      <w:ind w:left="240"/>
    </w:pPr>
    <w:rPr>
      <w:b/>
      <w:bCs/>
      <w:sz w:val="22"/>
      <w:szCs w:val="22"/>
    </w:rPr>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1"/>
      </w:numPr>
      <w:tabs>
        <w:tab w:val="left" w:pos="720"/>
      </w:tabs>
      <w:ind w:left="720" w:right="576"/>
      <w:jc w:val="both"/>
    </w:pPr>
    <w:rPr>
      <w:u w:val="single"/>
    </w:rPr>
  </w:style>
  <w:style w:type="character" w:customStyle="1" w:styleId="HeadingDChar">
    <w:name w:val="HeadingD Char"/>
    <w:basedOn w:val="DefaultParagraphFont"/>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pPr>
      <w:jc w:val="left"/>
    </w:pPr>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paragraph" w:customStyle="1" w:styleId="Level1">
    <w:name w:val="Level 1"/>
    <w:pPr>
      <w:widowControl w:val="0"/>
      <w:autoSpaceDE w:val="0"/>
      <w:autoSpaceDN w:val="0"/>
      <w:adjustRightInd w:val="0"/>
      <w:ind w:left="720"/>
      <w:jc w:val="both"/>
    </w:pPr>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semiHidden/>
    <w:rsid w:val="004459ED"/>
    <w:rPr>
      <w:sz w:val="20"/>
      <w:szCs w:val="20"/>
    </w:rPr>
  </w:style>
  <w:style w:type="character" w:styleId="FootnoteReference">
    <w:name w:val="footnote reference"/>
    <w:basedOn w:val="DefaultParagraphFont"/>
    <w:semiHidden/>
    <w:rsid w:val="004459ED"/>
    <w:rPr>
      <w:vertAlign w:val="superscript"/>
    </w:rPr>
  </w:style>
  <w:style w:type="paragraph" w:customStyle="1" w:styleId="FootnoteText1">
    <w:name w:val="Footnote Text1"/>
    <w:basedOn w:val="Normal"/>
    <w:rsid w:val="004459ED"/>
    <w:pPr>
      <w:autoSpaceDE w:val="0"/>
      <w:autoSpaceDN w:val="0"/>
      <w:adjustRightInd w:val="0"/>
      <w:ind w:left="720" w:hanging="720"/>
    </w:pPr>
    <w:rPr>
      <w:rFonts w:ascii="Times" w:hAnsi="Times"/>
      <w:sz w:val="20"/>
      <w:szCs w:val="20"/>
    </w:rPr>
  </w:style>
  <w:style w:type="table" w:styleId="TableGrid">
    <w:name w:val="Table Grid"/>
    <w:basedOn w:val="TableNormal"/>
    <w:rsid w:val="00A25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55CF1"/>
    <w:rPr>
      <w:b/>
      <w:bCs/>
      <w:sz w:val="20"/>
      <w:szCs w:val="20"/>
    </w:rPr>
  </w:style>
  <w:style w:type="character" w:customStyle="1" w:styleId="Heading2Char">
    <w:name w:val="Heading 2 Char"/>
    <w:basedOn w:val="DefaultParagraphFont"/>
    <w:link w:val="Heading2"/>
    <w:rsid w:val="0067596A"/>
    <w:rPr>
      <w:rFonts w:ascii="Stylus BT" w:hAnsi="Stylus BT"/>
      <w:b/>
      <w:bCs/>
      <w:lang w:val="en-US" w:eastAsia="en-US" w:bidi="ar-SA"/>
    </w:rPr>
  </w:style>
  <w:style w:type="character" w:styleId="PageNumber">
    <w:name w:val="page number"/>
    <w:basedOn w:val="DefaultParagraphFont"/>
    <w:rsid w:val="00985997"/>
  </w:style>
  <w:style w:type="paragraph" w:styleId="BalloonText">
    <w:name w:val="Balloon Text"/>
    <w:basedOn w:val="Normal"/>
    <w:semiHidden/>
    <w:rsid w:val="00B16A2D"/>
    <w:rPr>
      <w:rFonts w:ascii="Tahoma" w:hAnsi="Tahoma" w:cs="Tahoma"/>
      <w:sz w:val="16"/>
      <w:szCs w:val="16"/>
    </w:rPr>
  </w:style>
  <w:style w:type="paragraph" w:styleId="NormalWeb">
    <w:name w:val="Normal (Web)"/>
    <w:basedOn w:val="Normal"/>
    <w:rsid w:val="00793C89"/>
    <w:pPr>
      <w:spacing w:before="100" w:beforeAutospacing="1" w:after="100" w:afterAutospacing="1"/>
    </w:pPr>
  </w:style>
  <w:style w:type="character" w:customStyle="1" w:styleId="text">
    <w:name w:val="text"/>
    <w:basedOn w:val="DefaultParagraphFont"/>
    <w:rsid w:val="00A571DB"/>
  </w:style>
  <w:style w:type="table" w:styleId="TableGridLight">
    <w:name w:val="Grid Table Light"/>
    <w:basedOn w:val="TableNormal"/>
    <w:uiPriority w:val="40"/>
    <w:rsid w:val="00CC65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1">
    <w:name w:val="Table Grid 1"/>
    <w:basedOn w:val="TableNormal"/>
    <w:rsid w:val="005F233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071739">
      <w:bodyDiv w:val="1"/>
      <w:marLeft w:val="0"/>
      <w:marRight w:val="0"/>
      <w:marTop w:val="0"/>
      <w:marBottom w:val="0"/>
      <w:divBdr>
        <w:top w:val="none" w:sz="0" w:space="0" w:color="auto"/>
        <w:left w:val="none" w:sz="0" w:space="0" w:color="auto"/>
        <w:bottom w:val="none" w:sz="0" w:space="0" w:color="auto"/>
        <w:right w:val="none" w:sz="0" w:space="0" w:color="auto"/>
      </w:divBdr>
    </w:div>
    <w:div w:id="1331523832">
      <w:bodyDiv w:val="1"/>
      <w:marLeft w:val="0"/>
      <w:marRight w:val="0"/>
      <w:marTop w:val="0"/>
      <w:marBottom w:val="0"/>
      <w:divBdr>
        <w:top w:val="none" w:sz="0" w:space="0" w:color="auto"/>
        <w:left w:val="none" w:sz="0" w:space="0" w:color="auto"/>
        <w:bottom w:val="none" w:sz="0" w:space="0" w:color="auto"/>
        <w:right w:val="none" w:sz="0" w:space="0" w:color="auto"/>
      </w:divBdr>
    </w:div>
    <w:div w:id="2135784604">
      <w:bodyDiv w:val="1"/>
      <w:marLeft w:val="0"/>
      <w:marRight w:val="0"/>
      <w:marTop w:val="0"/>
      <w:marBottom w:val="0"/>
      <w:divBdr>
        <w:top w:val="none" w:sz="0" w:space="0" w:color="auto"/>
        <w:left w:val="none" w:sz="0" w:space="0" w:color="auto"/>
        <w:bottom w:val="none" w:sz="0" w:space="0" w:color="auto"/>
        <w:right w:val="none" w:sz="0" w:space="0" w:color="auto"/>
      </w:divBdr>
      <w:divsChild>
        <w:div w:id="568854815">
          <w:marLeft w:val="0"/>
          <w:marRight w:val="0"/>
          <w:marTop w:val="0"/>
          <w:marBottom w:val="0"/>
          <w:divBdr>
            <w:top w:val="none" w:sz="0" w:space="0" w:color="auto"/>
            <w:left w:val="none" w:sz="0" w:space="0" w:color="auto"/>
            <w:bottom w:val="none" w:sz="0" w:space="0" w:color="auto"/>
            <w:right w:val="none" w:sz="0" w:space="0" w:color="auto"/>
          </w:divBdr>
          <w:divsChild>
            <w:div w:id="357968630">
              <w:marLeft w:val="0"/>
              <w:marRight w:val="0"/>
              <w:marTop w:val="0"/>
              <w:marBottom w:val="0"/>
              <w:divBdr>
                <w:top w:val="none" w:sz="0" w:space="0" w:color="auto"/>
                <w:left w:val="none" w:sz="0" w:space="0" w:color="auto"/>
                <w:bottom w:val="none" w:sz="0" w:space="0" w:color="auto"/>
                <w:right w:val="none" w:sz="0" w:space="0" w:color="auto"/>
              </w:divBdr>
              <w:divsChild>
                <w:div w:id="665669771">
                  <w:marLeft w:val="0"/>
                  <w:marRight w:val="0"/>
                  <w:marTop w:val="0"/>
                  <w:marBottom w:val="0"/>
                  <w:divBdr>
                    <w:top w:val="none" w:sz="0" w:space="0" w:color="auto"/>
                    <w:left w:val="none" w:sz="0" w:space="0" w:color="auto"/>
                    <w:bottom w:val="none" w:sz="0" w:space="0" w:color="auto"/>
                    <w:right w:val="none" w:sz="0" w:space="0" w:color="auto"/>
                  </w:divBdr>
                  <w:divsChild>
                    <w:div w:id="864830019">
                      <w:marLeft w:val="0"/>
                      <w:marRight w:val="0"/>
                      <w:marTop w:val="0"/>
                      <w:marBottom w:val="0"/>
                      <w:divBdr>
                        <w:top w:val="none" w:sz="0" w:space="0" w:color="auto"/>
                        <w:left w:val="none" w:sz="0" w:space="0" w:color="auto"/>
                        <w:bottom w:val="none" w:sz="0" w:space="0" w:color="auto"/>
                        <w:right w:val="none" w:sz="0" w:space="0" w:color="auto"/>
                      </w:divBdr>
                    </w:div>
                    <w:div w:id="1665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oleObject" Target="embeddings/Microsoft_Word_97_-_2003_Document.doc"/><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www.naspaa/org/accreditation/standard2009/guiding.as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6" b="1" i="0" u="none" strike="noStrike" baseline="0">
                <a:solidFill>
                  <a:srgbClr val="000000"/>
                </a:solidFill>
                <a:latin typeface="Arial"/>
                <a:ea typeface="Arial"/>
                <a:cs typeface="Arial"/>
              </a:defRPr>
            </a:pPr>
            <a:r>
              <a:rPr lang="en-US"/>
              <a:t>Percent of non-PADM Students joining program</a:t>
            </a:r>
          </a:p>
        </c:rich>
      </c:tx>
      <c:layout>
        <c:manualLayout>
          <c:xMode val="edge"/>
          <c:yMode val="edge"/>
          <c:x val="0.16400911161731208"/>
          <c:y val="3.4934497816593885E-2"/>
        </c:manualLayout>
      </c:layout>
      <c:overlay val="0"/>
      <c:spPr>
        <a:noFill/>
        <a:ln w="25294">
          <a:noFill/>
        </a:ln>
      </c:spPr>
    </c:title>
    <c:autoTitleDeleted val="0"/>
    <c:plotArea>
      <c:layout>
        <c:manualLayout>
          <c:layoutTarget val="inner"/>
          <c:xMode val="edge"/>
          <c:yMode val="edge"/>
          <c:x val="0.15717539863325741"/>
          <c:y val="0.23144104803493451"/>
          <c:w val="0.69703872437357628"/>
          <c:h val="0.51965065502183405"/>
        </c:manualLayout>
      </c:layout>
      <c:lineChart>
        <c:grouping val="standard"/>
        <c:varyColors val="0"/>
        <c:ser>
          <c:idx val="0"/>
          <c:order val="0"/>
          <c:tx>
            <c:strRef>
              <c:f>Summary!$A$3</c:f>
              <c:strCache>
                <c:ptCount val="1"/>
                <c:pt idx="0">
                  <c:v>%</c:v>
                </c:pt>
              </c:strCache>
            </c:strRef>
          </c:tx>
          <c:spPr>
            <a:ln w="12647">
              <a:solidFill>
                <a:srgbClr val="000080"/>
              </a:solidFill>
              <a:prstDash val="solid"/>
            </a:ln>
          </c:spPr>
          <c:marker>
            <c:symbol val="none"/>
          </c:marker>
          <c:cat>
            <c:strRef>
              <c:f>Summary!$B$2:$G$2</c:f>
              <c:strCache>
                <c:ptCount val="6"/>
                <c:pt idx="0">
                  <c:v>AY00-01</c:v>
                </c:pt>
                <c:pt idx="1">
                  <c:v>AY01-02</c:v>
                </c:pt>
                <c:pt idx="2">
                  <c:v>AY02-03</c:v>
                </c:pt>
                <c:pt idx="3">
                  <c:v>AY03-04</c:v>
                </c:pt>
                <c:pt idx="4">
                  <c:v>AY04-05</c:v>
                </c:pt>
                <c:pt idx="5">
                  <c:v>AY05-06</c:v>
                </c:pt>
              </c:strCache>
            </c:strRef>
          </c:cat>
          <c:val>
            <c:numRef>
              <c:f>Summary!$B$3:$G$3</c:f>
              <c:numCache>
                <c:formatCode>General</c:formatCode>
                <c:ptCount val="6"/>
                <c:pt idx="0">
                  <c:v>12.328767123287671</c:v>
                </c:pt>
                <c:pt idx="1">
                  <c:v>19.587628865979383</c:v>
                </c:pt>
                <c:pt idx="2">
                  <c:v>33.928571428571431</c:v>
                </c:pt>
                <c:pt idx="3">
                  <c:v>24.657534246575342</c:v>
                </c:pt>
                <c:pt idx="4">
                  <c:v>30.882352941176471</c:v>
                </c:pt>
                <c:pt idx="5">
                  <c:v>42.857142857142854</c:v>
                </c:pt>
              </c:numCache>
            </c:numRef>
          </c:val>
          <c:smooth val="0"/>
          <c:extLst>
            <c:ext xmlns:c16="http://schemas.microsoft.com/office/drawing/2014/chart" uri="{C3380CC4-5D6E-409C-BE32-E72D297353CC}">
              <c16:uniqueId val="{00000000-E468-485A-A9DE-20FF58FC0661}"/>
            </c:ext>
          </c:extLst>
        </c:ser>
        <c:dLbls>
          <c:showLegendKey val="0"/>
          <c:showVal val="0"/>
          <c:showCatName val="0"/>
          <c:showSerName val="0"/>
          <c:showPercent val="0"/>
          <c:showBubbleSize val="0"/>
        </c:dLbls>
        <c:smooth val="0"/>
        <c:axId val="235525472"/>
        <c:axId val="1"/>
      </c:lineChart>
      <c:catAx>
        <c:axId val="235525472"/>
        <c:scaling>
          <c:orientation val="minMax"/>
        </c:scaling>
        <c:delete val="0"/>
        <c:axPos val="b"/>
        <c:title>
          <c:tx>
            <c:rich>
              <a:bodyPr/>
              <a:lstStyle/>
              <a:p>
                <a:pPr>
                  <a:defRPr sz="797" b="1" i="0" u="none" strike="noStrike" baseline="0">
                    <a:solidFill>
                      <a:srgbClr val="000000"/>
                    </a:solidFill>
                    <a:latin typeface="Arial"/>
                    <a:ea typeface="Arial"/>
                    <a:cs typeface="Arial"/>
                  </a:defRPr>
                </a:pPr>
                <a:r>
                  <a:rPr lang="en-US"/>
                  <a:t>Academic Year</a:t>
                </a:r>
              </a:p>
            </c:rich>
          </c:tx>
          <c:layout>
            <c:manualLayout>
              <c:xMode val="edge"/>
              <c:yMode val="edge"/>
              <c:x val="0.40546697038724372"/>
              <c:y val="0.86462882096069871"/>
            </c:manualLayout>
          </c:layout>
          <c:overlay val="0"/>
          <c:spPr>
            <a:noFill/>
            <a:ln w="25294">
              <a:noFill/>
            </a:ln>
          </c:spPr>
        </c:title>
        <c:numFmt formatCode="General" sourceLinked="1"/>
        <c:majorTickMark val="out"/>
        <c:minorTickMark val="none"/>
        <c:tickLblPos val="nextTo"/>
        <c:spPr>
          <a:ln w="3162">
            <a:solidFill>
              <a:srgbClr val="000000"/>
            </a:solidFill>
            <a:prstDash val="solid"/>
          </a:ln>
        </c:spPr>
        <c:txPr>
          <a:bodyPr rot="0" vert="horz"/>
          <a:lstStyle/>
          <a:p>
            <a:pPr>
              <a:defRPr sz="822"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62">
              <a:solidFill>
                <a:srgbClr val="000000"/>
              </a:solidFill>
              <a:prstDash val="solid"/>
            </a:ln>
          </c:spPr>
        </c:majorGridlines>
        <c:title>
          <c:tx>
            <c:rich>
              <a:bodyPr/>
              <a:lstStyle/>
              <a:p>
                <a:pPr>
                  <a:defRPr sz="797" b="1" i="0" u="none" strike="noStrike" baseline="0">
                    <a:solidFill>
                      <a:srgbClr val="000000"/>
                    </a:solidFill>
                    <a:latin typeface="Arial"/>
                    <a:ea typeface="Arial"/>
                    <a:cs typeface="Arial"/>
                  </a:defRPr>
                </a:pPr>
                <a:r>
                  <a:rPr lang="en-US"/>
                  <a:t>Number of Non-PADM Students</a:t>
                </a:r>
              </a:p>
            </c:rich>
          </c:tx>
          <c:layout>
            <c:manualLayout>
              <c:xMode val="edge"/>
              <c:yMode val="edge"/>
              <c:x val="2.2779043280182234E-2"/>
              <c:y val="0.2183406113537118"/>
            </c:manualLayout>
          </c:layout>
          <c:overlay val="0"/>
          <c:spPr>
            <a:noFill/>
            <a:ln w="25294">
              <a:noFill/>
            </a:ln>
          </c:spPr>
        </c:title>
        <c:numFmt formatCode="General" sourceLinked="1"/>
        <c:majorTickMark val="out"/>
        <c:minorTickMark val="none"/>
        <c:tickLblPos val="nextTo"/>
        <c:spPr>
          <a:ln w="3162">
            <a:solidFill>
              <a:srgbClr val="000000"/>
            </a:solidFill>
            <a:prstDash val="solid"/>
          </a:ln>
        </c:spPr>
        <c:txPr>
          <a:bodyPr rot="0" vert="horz"/>
          <a:lstStyle/>
          <a:p>
            <a:pPr>
              <a:defRPr sz="822" b="0" i="0" u="none" strike="noStrike" baseline="0">
                <a:solidFill>
                  <a:srgbClr val="000000"/>
                </a:solidFill>
                <a:latin typeface="Arial"/>
                <a:ea typeface="Arial"/>
                <a:cs typeface="Arial"/>
              </a:defRPr>
            </a:pPr>
            <a:endParaRPr lang="en-US"/>
          </a:p>
        </c:txPr>
        <c:crossAx val="235525472"/>
        <c:crosses val="autoZero"/>
        <c:crossBetween val="between"/>
      </c:valAx>
      <c:spPr>
        <a:solidFill>
          <a:srgbClr val="C0C0C0"/>
        </a:solidFill>
        <a:ln w="12647">
          <a:solidFill>
            <a:srgbClr val="808080"/>
          </a:solidFill>
          <a:prstDash val="solid"/>
        </a:ln>
      </c:spPr>
    </c:plotArea>
    <c:plotVisOnly val="1"/>
    <c:dispBlanksAs val="gap"/>
    <c:showDLblsOverMax val="0"/>
  </c:chart>
  <c:spPr>
    <a:solidFill>
      <a:srgbClr val="FFFFFF"/>
    </a:solidFill>
    <a:ln w="3162">
      <a:solidFill>
        <a:srgbClr val="000000"/>
      </a:solidFill>
      <a:prstDash val="solid"/>
    </a:ln>
  </c:spPr>
  <c:txPr>
    <a:bodyPr/>
    <a:lstStyle/>
    <a:p>
      <a:pPr>
        <a:defRPr sz="822"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ranslationStateNumberOfItem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8B6B6AAE7CEB408145065A6BEE4D53" ma:contentTypeVersion="3" ma:contentTypeDescription="Create a new document." ma:contentTypeScope="" ma:versionID="436a143d485e48bf9ea4acfd8ad2953c">
  <xsd:schema xmlns:xsd="http://www.w3.org/2001/XMLSchema" xmlns:xs="http://www.w3.org/2001/XMLSchema" xmlns:p="http://schemas.microsoft.com/office/2006/metadata/properties" xmlns:ns1="http://schemas.microsoft.com/sharepoint/v3" targetNamespace="http://schemas.microsoft.com/office/2006/metadata/properties" ma:root="true" ma:fieldsID="17b7065f18e3d1c2ce006926411809a7" ns1:_="">
    <xsd:import namespace="http://schemas.microsoft.com/sharepoint/v3"/>
    <xsd:element name="properties">
      <xsd:complexType>
        <xsd:sequence>
          <xsd:element name="documentManagement">
            <xsd:complexType>
              <xsd:all>
                <xsd:element ref="ns1:TranslationStateNumberOfIt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NumberOfItems" ma:index="2" nillable="true" ma:displayName="Number of Items" ma:indexed="true" ma:internalName="TranslationStateNumberOfItem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0C820-AB3F-439C-A60A-BDFC166835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2969870-86F5-4B80-A05B-117D6B2D3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46E6F-3644-4790-9EE8-F98E80709F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4453</Words>
  <Characters>27760</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32149</CharactersWithSpaces>
  <SharedDoc>false</SharedDoc>
  <HLinks>
    <vt:vector size="150" baseType="variant">
      <vt:variant>
        <vt:i4>1179696</vt:i4>
      </vt:variant>
      <vt:variant>
        <vt:i4>140</vt:i4>
      </vt:variant>
      <vt:variant>
        <vt:i4>0</vt:i4>
      </vt:variant>
      <vt:variant>
        <vt:i4>5</vt:i4>
      </vt:variant>
      <vt:variant>
        <vt:lpwstr/>
      </vt:variant>
      <vt:variant>
        <vt:lpwstr>_Toc201137031</vt:lpwstr>
      </vt:variant>
      <vt:variant>
        <vt:i4>1179696</vt:i4>
      </vt:variant>
      <vt:variant>
        <vt:i4>134</vt:i4>
      </vt:variant>
      <vt:variant>
        <vt:i4>0</vt:i4>
      </vt:variant>
      <vt:variant>
        <vt:i4>5</vt:i4>
      </vt:variant>
      <vt:variant>
        <vt:lpwstr/>
      </vt:variant>
      <vt:variant>
        <vt:lpwstr>_Toc201137030</vt:lpwstr>
      </vt:variant>
      <vt:variant>
        <vt:i4>1245232</vt:i4>
      </vt:variant>
      <vt:variant>
        <vt:i4>128</vt:i4>
      </vt:variant>
      <vt:variant>
        <vt:i4>0</vt:i4>
      </vt:variant>
      <vt:variant>
        <vt:i4>5</vt:i4>
      </vt:variant>
      <vt:variant>
        <vt:lpwstr/>
      </vt:variant>
      <vt:variant>
        <vt:lpwstr>_Toc201137029</vt:lpwstr>
      </vt:variant>
      <vt:variant>
        <vt:i4>1245232</vt:i4>
      </vt:variant>
      <vt:variant>
        <vt:i4>122</vt:i4>
      </vt:variant>
      <vt:variant>
        <vt:i4>0</vt:i4>
      </vt:variant>
      <vt:variant>
        <vt:i4>5</vt:i4>
      </vt:variant>
      <vt:variant>
        <vt:lpwstr/>
      </vt:variant>
      <vt:variant>
        <vt:lpwstr>_Toc201137028</vt:lpwstr>
      </vt:variant>
      <vt:variant>
        <vt:i4>1245232</vt:i4>
      </vt:variant>
      <vt:variant>
        <vt:i4>116</vt:i4>
      </vt:variant>
      <vt:variant>
        <vt:i4>0</vt:i4>
      </vt:variant>
      <vt:variant>
        <vt:i4>5</vt:i4>
      </vt:variant>
      <vt:variant>
        <vt:lpwstr/>
      </vt:variant>
      <vt:variant>
        <vt:lpwstr>_Toc201137027</vt:lpwstr>
      </vt:variant>
      <vt:variant>
        <vt:i4>1245232</vt:i4>
      </vt:variant>
      <vt:variant>
        <vt:i4>110</vt:i4>
      </vt:variant>
      <vt:variant>
        <vt:i4>0</vt:i4>
      </vt:variant>
      <vt:variant>
        <vt:i4>5</vt:i4>
      </vt:variant>
      <vt:variant>
        <vt:lpwstr/>
      </vt:variant>
      <vt:variant>
        <vt:lpwstr>_Toc201137026</vt:lpwstr>
      </vt:variant>
      <vt:variant>
        <vt:i4>1245232</vt:i4>
      </vt:variant>
      <vt:variant>
        <vt:i4>104</vt:i4>
      </vt:variant>
      <vt:variant>
        <vt:i4>0</vt:i4>
      </vt:variant>
      <vt:variant>
        <vt:i4>5</vt:i4>
      </vt:variant>
      <vt:variant>
        <vt:lpwstr/>
      </vt:variant>
      <vt:variant>
        <vt:lpwstr>_Toc201137025</vt:lpwstr>
      </vt:variant>
      <vt:variant>
        <vt:i4>1245232</vt:i4>
      </vt:variant>
      <vt:variant>
        <vt:i4>98</vt:i4>
      </vt:variant>
      <vt:variant>
        <vt:i4>0</vt:i4>
      </vt:variant>
      <vt:variant>
        <vt:i4>5</vt:i4>
      </vt:variant>
      <vt:variant>
        <vt:lpwstr/>
      </vt:variant>
      <vt:variant>
        <vt:lpwstr>_Toc201137024</vt:lpwstr>
      </vt:variant>
      <vt:variant>
        <vt:i4>1245232</vt:i4>
      </vt:variant>
      <vt:variant>
        <vt:i4>92</vt:i4>
      </vt:variant>
      <vt:variant>
        <vt:i4>0</vt:i4>
      </vt:variant>
      <vt:variant>
        <vt:i4>5</vt:i4>
      </vt:variant>
      <vt:variant>
        <vt:lpwstr/>
      </vt:variant>
      <vt:variant>
        <vt:lpwstr>_Toc201137023</vt:lpwstr>
      </vt:variant>
      <vt:variant>
        <vt:i4>1245232</vt:i4>
      </vt:variant>
      <vt:variant>
        <vt:i4>86</vt:i4>
      </vt:variant>
      <vt:variant>
        <vt:i4>0</vt:i4>
      </vt:variant>
      <vt:variant>
        <vt:i4>5</vt:i4>
      </vt:variant>
      <vt:variant>
        <vt:lpwstr/>
      </vt:variant>
      <vt:variant>
        <vt:lpwstr>_Toc201137022</vt:lpwstr>
      </vt:variant>
      <vt:variant>
        <vt:i4>1245232</vt:i4>
      </vt:variant>
      <vt:variant>
        <vt:i4>80</vt:i4>
      </vt:variant>
      <vt:variant>
        <vt:i4>0</vt:i4>
      </vt:variant>
      <vt:variant>
        <vt:i4>5</vt:i4>
      </vt:variant>
      <vt:variant>
        <vt:lpwstr/>
      </vt:variant>
      <vt:variant>
        <vt:lpwstr>_Toc201137021</vt:lpwstr>
      </vt:variant>
      <vt:variant>
        <vt:i4>1245232</vt:i4>
      </vt:variant>
      <vt:variant>
        <vt:i4>74</vt:i4>
      </vt:variant>
      <vt:variant>
        <vt:i4>0</vt:i4>
      </vt:variant>
      <vt:variant>
        <vt:i4>5</vt:i4>
      </vt:variant>
      <vt:variant>
        <vt:lpwstr/>
      </vt:variant>
      <vt:variant>
        <vt:lpwstr>_Toc201137020</vt:lpwstr>
      </vt:variant>
      <vt:variant>
        <vt:i4>1048624</vt:i4>
      </vt:variant>
      <vt:variant>
        <vt:i4>68</vt:i4>
      </vt:variant>
      <vt:variant>
        <vt:i4>0</vt:i4>
      </vt:variant>
      <vt:variant>
        <vt:i4>5</vt:i4>
      </vt:variant>
      <vt:variant>
        <vt:lpwstr/>
      </vt:variant>
      <vt:variant>
        <vt:lpwstr>_Toc201137019</vt:lpwstr>
      </vt:variant>
      <vt:variant>
        <vt:i4>1048624</vt:i4>
      </vt:variant>
      <vt:variant>
        <vt:i4>62</vt:i4>
      </vt:variant>
      <vt:variant>
        <vt:i4>0</vt:i4>
      </vt:variant>
      <vt:variant>
        <vt:i4>5</vt:i4>
      </vt:variant>
      <vt:variant>
        <vt:lpwstr/>
      </vt:variant>
      <vt:variant>
        <vt:lpwstr>_Toc201137018</vt:lpwstr>
      </vt:variant>
      <vt:variant>
        <vt:i4>1048624</vt:i4>
      </vt:variant>
      <vt:variant>
        <vt:i4>56</vt:i4>
      </vt:variant>
      <vt:variant>
        <vt:i4>0</vt:i4>
      </vt:variant>
      <vt:variant>
        <vt:i4>5</vt:i4>
      </vt:variant>
      <vt:variant>
        <vt:lpwstr/>
      </vt:variant>
      <vt:variant>
        <vt:lpwstr>_Toc201137017</vt:lpwstr>
      </vt:variant>
      <vt:variant>
        <vt:i4>1048624</vt:i4>
      </vt:variant>
      <vt:variant>
        <vt:i4>50</vt:i4>
      </vt:variant>
      <vt:variant>
        <vt:i4>0</vt:i4>
      </vt:variant>
      <vt:variant>
        <vt:i4>5</vt:i4>
      </vt:variant>
      <vt:variant>
        <vt:lpwstr/>
      </vt:variant>
      <vt:variant>
        <vt:lpwstr>_Toc201137016</vt:lpwstr>
      </vt:variant>
      <vt:variant>
        <vt:i4>1048624</vt:i4>
      </vt:variant>
      <vt:variant>
        <vt:i4>44</vt:i4>
      </vt:variant>
      <vt:variant>
        <vt:i4>0</vt:i4>
      </vt:variant>
      <vt:variant>
        <vt:i4>5</vt:i4>
      </vt:variant>
      <vt:variant>
        <vt:lpwstr/>
      </vt:variant>
      <vt:variant>
        <vt:lpwstr>_Toc201137015</vt:lpwstr>
      </vt:variant>
      <vt:variant>
        <vt:i4>1048624</vt:i4>
      </vt:variant>
      <vt:variant>
        <vt:i4>38</vt:i4>
      </vt:variant>
      <vt:variant>
        <vt:i4>0</vt:i4>
      </vt:variant>
      <vt:variant>
        <vt:i4>5</vt:i4>
      </vt:variant>
      <vt:variant>
        <vt:lpwstr/>
      </vt:variant>
      <vt:variant>
        <vt:lpwstr>_Toc201137014</vt:lpwstr>
      </vt:variant>
      <vt:variant>
        <vt:i4>1048624</vt:i4>
      </vt:variant>
      <vt:variant>
        <vt:i4>32</vt:i4>
      </vt:variant>
      <vt:variant>
        <vt:i4>0</vt:i4>
      </vt:variant>
      <vt:variant>
        <vt:i4>5</vt:i4>
      </vt:variant>
      <vt:variant>
        <vt:lpwstr/>
      </vt:variant>
      <vt:variant>
        <vt:lpwstr>_Toc201137013</vt:lpwstr>
      </vt:variant>
      <vt:variant>
        <vt:i4>1048624</vt:i4>
      </vt:variant>
      <vt:variant>
        <vt:i4>26</vt:i4>
      </vt:variant>
      <vt:variant>
        <vt:i4>0</vt:i4>
      </vt:variant>
      <vt:variant>
        <vt:i4>5</vt:i4>
      </vt:variant>
      <vt:variant>
        <vt:lpwstr/>
      </vt:variant>
      <vt:variant>
        <vt:lpwstr>_Toc201137012</vt:lpwstr>
      </vt:variant>
      <vt:variant>
        <vt:i4>1048624</vt:i4>
      </vt:variant>
      <vt:variant>
        <vt:i4>20</vt:i4>
      </vt:variant>
      <vt:variant>
        <vt:i4>0</vt:i4>
      </vt:variant>
      <vt:variant>
        <vt:i4>5</vt:i4>
      </vt:variant>
      <vt:variant>
        <vt:lpwstr/>
      </vt:variant>
      <vt:variant>
        <vt:lpwstr>_Toc201137011</vt:lpwstr>
      </vt:variant>
      <vt:variant>
        <vt:i4>1048624</vt:i4>
      </vt:variant>
      <vt:variant>
        <vt:i4>14</vt:i4>
      </vt:variant>
      <vt:variant>
        <vt:i4>0</vt:i4>
      </vt:variant>
      <vt:variant>
        <vt:i4>5</vt:i4>
      </vt:variant>
      <vt:variant>
        <vt:lpwstr/>
      </vt:variant>
      <vt:variant>
        <vt:lpwstr>_Toc201137010</vt:lpwstr>
      </vt:variant>
      <vt:variant>
        <vt:i4>1114160</vt:i4>
      </vt:variant>
      <vt:variant>
        <vt:i4>8</vt:i4>
      </vt:variant>
      <vt:variant>
        <vt:i4>0</vt:i4>
      </vt:variant>
      <vt:variant>
        <vt:i4>5</vt:i4>
      </vt:variant>
      <vt:variant>
        <vt:lpwstr/>
      </vt:variant>
      <vt:variant>
        <vt:lpwstr>_Toc201137009</vt:lpwstr>
      </vt:variant>
      <vt:variant>
        <vt:i4>1114160</vt:i4>
      </vt:variant>
      <vt:variant>
        <vt:i4>2</vt:i4>
      </vt:variant>
      <vt:variant>
        <vt:i4>0</vt:i4>
      </vt:variant>
      <vt:variant>
        <vt:i4>5</vt:i4>
      </vt:variant>
      <vt:variant>
        <vt:lpwstr/>
      </vt:variant>
      <vt:variant>
        <vt:lpwstr>_Toc201137008</vt:lpwstr>
      </vt:variant>
      <vt:variant>
        <vt:i4>1507403</vt:i4>
      </vt:variant>
      <vt:variant>
        <vt:i4>0</vt:i4>
      </vt:variant>
      <vt:variant>
        <vt:i4>0</vt:i4>
      </vt:variant>
      <vt:variant>
        <vt:i4>5</vt:i4>
      </vt:variant>
      <vt:variant>
        <vt:lpwstr>http://www.naspaa/org/accreditation/standard2009/guiding.asp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CBPP 06-07 Assessment Committee</dc:creator>
  <cp:keywords/>
  <dc:description/>
  <cp:lastModifiedBy>Megan Carlson</cp:lastModifiedBy>
  <cp:revision>17</cp:revision>
  <cp:lastPrinted>2007-06-28T18:24:00Z</cp:lastPrinted>
  <dcterms:created xsi:type="dcterms:W3CDTF">2022-05-27T17:39:00Z</dcterms:created>
  <dcterms:modified xsi:type="dcterms:W3CDTF">2025-04-25T17:48:00Z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465a53884220d6d097c03064124dc5ce16f541b0b0a11957190051470da189aa</vt:lpwstr>
  </property>
</Properties>
</file>