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10C4B" w14:textId="77777777" w:rsidR="008A169D" w:rsidRDefault="008A169D" w:rsidP="008A169D">
      <w:pPr>
        <w:jc w:val="center"/>
        <w:rPr>
          <w:b/>
          <w:sz w:val="28"/>
          <w:szCs w:val="28"/>
        </w:rPr>
      </w:pPr>
    </w:p>
    <w:p w14:paraId="7F11793A" w14:textId="77777777" w:rsidR="008A169D" w:rsidRDefault="008A169D" w:rsidP="008A169D">
      <w:pPr>
        <w:jc w:val="center"/>
        <w:rPr>
          <w:b/>
          <w:sz w:val="28"/>
          <w:szCs w:val="28"/>
        </w:rPr>
      </w:pPr>
    </w:p>
    <w:p w14:paraId="5C649A0F" w14:textId="77777777" w:rsidR="008A169D" w:rsidRDefault="008A169D" w:rsidP="008A169D">
      <w:pPr>
        <w:jc w:val="center"/>
        <w:rPr>
          <w:b/>
          <w:sz w:val="28"/>
          <w:szCs w:val="28"/>
        </w:rPr>
      </w:pPr>
      <w:r w:rsidRPr="00A76E1C">
        <w:rPr>
          <w:b/>
          <w:noProof/>
        </w:rPr>
        <w:drawing>
          <wp:inline distT="0" distB="0" distL="0" distR="0" wp14:anchorId="77367525" wp14:editId="7F38FCD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A77122F" w14:textId="77777777" w:rsidR="008A169D" w:rsidRPr="00F22654" w:rsidRDefault="008A169D" w:rsidP="008A169D">
      <w:pPr>
        <w:spacing w:line="360" w:lineRule="auto"/>
        <w:jc w:val="center"/>
        <w:rPr>
          <w:b/>
          <w:sz w:val="60"/>
          <w:szCs w:val="60"/>
        </w:rPr>
      </w:pPr>
    </w:p>
    <w:p w14:paraId="65015BA8" w14:textId="77777777" w:rsidR="008A169D" w:rsidRPr="00F22654" w:rsidRDefault="008A169D" w:rsidP="008A169D">
      <w:pPr>
        <w:spacing w:line="360" w:lineRule="auto"/>
        <w:jc w:val="center"/>
        <w:rPr>
          <w:b/>
          <w:sz w:val="60"/>
          <w:szCs w:val="60"/>
        </w:rPr>
      </w:pPr>
    </w:p>
    <w:p w14:paraId="0EB4BDC6" w14:textId="77777777" w:rsidR="005D5601" w:rsidRPr="00112760" w:rsidRDefault="005D5601" w:rsidP="005D5601">
      <w:pPr>
        <w:ind w:left="720" w:firstLine="720"/>
        <w:rPr>
          <w:b/>
          <w:sz w:val="56"/>
          <w:szCs w:val="56"/>
        </w:rPr>
      </w:pPr>
      <w:r w:rsidRPr="00112760">
        <w:rPr>
          <w:b/>
          <w:sz w:val="56"/>
          <w:szCs w:val="56"/>
        </w:rPr>
        <w:t>Academic Assessment Plan</w:t>
      </w:r>
    </w:p>
    <w:p w14:paraId="46E10841" w14:textId="77777777" w:rsidR="005D5601" w:rsidRDefault="005D5601" w:rsidP="005D5601">
      <w:pPr>
        <w:spacing w:line="276" w:lineRule="auto"/>
        <w:jc w:val="center"/>
        <w:rPr>
          <w:b/>
          <w:sz w:val="56"/>
          <w:szCs w:val="56"/>
        </w:rPr>
      </w:pPr>
    </w:p>
    <w:p w14:paraId="42068FB6" w14:textId="77777777" w:rsidR="005D5601" w:rsidRDefault="005D5601" w:rsidP="005D5601">
      <w:pPr>
        <w:spacing w:line="276" w:lineRule="auto"/>
        <w:jc w:val="center"/>
        <w:rPr>
          <w:b/>
          <w:sz w:val="56"/>
          <w:szCs w:val="56"/>
        </w:rPr>
      </w:pPr>
    </w:p>
    <w:p w14:paraId="10C41AC1" w14:textId="7CBADBED" w:rsidR="005D5601" w:rsidRPr="00112760" w:rsidRDefault="005D5601" w:rsidP="005D5601">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sidR="00C32373">
        <w:rPr>
          <w:sz w:val="36"/>
          <w:szCs w:val="36"/>
        </w:rPr>
        <w:t>Business and Public Policy</w:t>
      </w:r>
    </w:p>
    <w:p w14:paraId="4E43053A" w14:textId="77777777" w:rsidR="005D5601" w:rsidRPr="00112760" w:rsidRDefault="005D5601" w:rsidP="005D5601">
      <w:pPr>
        <w:ind w:left="1440"/>
        <w:rPr>
          <w:sz w:val="36"/>
          <w:szCs w:val="36"/>
        </w:rPr>
      </w:pPr>
    </w:p>
    <w:p w14:paraId="7C2C54DD" w14:textId="5BA9E6E4" w:rsidR="005D5601" w:rsidRPr="00CB0EEB" w:rsidRDefault="005D5601" w:rsidP="005D5601">
      <w:pPr>
        <w:ind w:left="1440"/>
        <w:rPr>
          <w:sz w:val="36"/>
          <w:szCs w:val="36"/>
        </w:rPr>
      </w:pPr>
      <w:r w:rsidRPr="00112760">
        <w:rPr>
          <w:b/>
          <w:sz w:val="36"/>
          <w:szCs w:val="36"/>
        </w:rPr>
        <w:t xml:space="preserve">Program(s): </w:t>
      </w:r>
      <w:r w:rsidRPr="00112760">
        <w:rPr>
          <w:b/>
          <w:sz w:val="36"/>
          <w:szCs w:val="36"/>
        </w:rPr>
        <w:tab/>
      </w:r>
      <w:r w:rsidR="00C32373">
        <w:rPr>
          <w:sz w:val="36"/>
          <w:szCs w:val="36"/>
        </w:rPr>
        <w:t>MPP Public Policy</w:t>
      </w:r>
      <w:bookmarkStart w:id="0" w:name="_GoBack"/>
      <w:bookmarkEnd w:id="0"/>
    </w:p>
    <w:p w14:paraId="4BC09779" w14:textId="77777777" w:rsidR="005D5601" w:rsidRPr="00112760" w:rsidRDefault="005D5601" w:rsidP="005D5601">
      <w:pPr>
        <w:ind w:left="1440"/>
        <w:rPr>
          <w:sz w:val="36"/>
          <w:szCs w:val="36"/>
        </w:rPr>
      </w:pPr>
    </w:p>
    <w:p w14:paraId="367FDA18" w14:textId="77777777" w:rsidR="005D5601" w:rsidRDefault="005D5601" w:rsidP="005D5601">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2025</w:t>
      </w:r>
    </w:p>
    <w:p w14:paraId="3296617F" w14:textId="77777777" w:rsidR="00B10748" w:rsidRPr="00652FA2" w:rsidRDefault="00B10748">
      <w:pPr>
        <w:jc w:val="center"/>
        <w:rPr>
          <w:b/>
          <w:sz w:val="28"/>
          <w:szCs w:val="28"/>
        </w:rPr>
      </w:pPr>
    </w:p>
    <w:p w14:paraId="4E27244C" w14:textId="77777777" w:rsidR="00B10748" w:rsidRPr="00652FA2" w:rsidRDefault="00B10748">
      <w:pPr>
        <w:rPr>
          <w:sz w:val="28"/>
          <w:szCs w:val="28"/>
        </w:rPr>
      </w:pPr>
    </w:p>
    <w:p w14:paraId="4EA8454F" w14:textId="77777777" w:rsidR="007C32C6" w:rsidRPr="00652FA2" w:rsidRDefault="00B10748" w:rsidP="00D91413">
      <w:pPr>
        <w:tabs>
          <w:tab w:val="center" w:pos="4968"/>
        </w:tabs>
      </w:pPr>
      <w:r w:rsidRPr="00652FA2">
        <w:br w:type="page"/>
      </w:r>
      <w:bookmarkStart w:id="2" w:name="ProgramGoals"/>
    </w:p>
    <w:p w14:paraId="2877CF67" w14:textId="77777777" w:rsidR="00B10748" w:rsidRPr="00652FA2" w:rsidRDefault="00B10748" w:rsidP="004C7E08">
      <w:pPr>
        <w:pStyle w:val="HeadingA"/>
        <w:jc w:val="left"/>
      </w:pPr>
      <w:bookmarkStart w:id="3" w:name="_Toc177539376"/>
      <w:r w:rsidRPr="00652FA2">
        <w:lastRenderedPageBreak/>
        <w:t>Mission Statement</w:t>
      </w:r>
      <w:bookmarkEnd w:id="3"/>
    </w:p>
    <w:p w14:paraId="175C64E2" w14:textId="77777777" w:rsidR="00652FA2" w:rsidRPr="007C1866" w:rsidRDefault="00652FA2" w:rsidP="00652FA2">
      <w:r w:rsidRPr="007C1866">
        <w:t xml:space="preserve">The mission of the </w:t>
      </w:r>
      <w:r w:rsidRPr="00652FA2">
        <w:rPr>
          <w:b/>
          <w:bCs/>
        </w:rPr>
        <w:t>UAA Masters of Public Policy (MPP)</w:t>
      </w:r>
      <w:r w:rsidRPr="007C1866">
        <w:t xml:space="preserve"> program is to prepare students to advan</w:t>
      </w:r>
      <w:r w:rsidRPr="00652FA2">
        <w:t>ce the quality of policy making</w:t>
      </w:r>
      <w:r w:rsidRPr="00652FA2">
        <w:rPr>
          <w:shd w:val="clear" w:color="auto" w:fill="FFFFFF"/>
        </w:rPr>
        <w:t> for a broad array of public, non-profit, academic, and Indigenous organizations and communities in Alaska, across the circumpolar North, and globally.</w:t>
      </w:r>
    </w:p>
    <w:p w14:paraId="4E96E9FF" w14:textId="77777777" w:rsidR="00652FA2" w:rsidRPr="007C1866" w:rsidRDefault="00652FA2" w:rsidP="00652FA2">
      <w:pPr>
        <w:spacing w:before="375" w:line="390" w:lineRule="atLeast"/>
      </w:pPr>
      <w:r w:rsidRPr="007C1866">
        <w:t>We will achieve our mission by preparing students to:</w:t>
      </w:r>
    </w:p>
    <w:p w14:paraId="0E9BC8D0" w14:textId="77777777" w:rsidR="00652FA2" w:rsidRPr="00652FA2" w:rsidRDefault="00652FA2" w:rsidP="00652FA2">
      <w:pPr>
        <w:widowControl w:val="0"/>
        <w:numPr>
          <w:ilvl w:val="0"/>
          <w:numId w:val="29"/>
        </w:numPr>
      </w:pPr>
      <w:r w:rsidRPr="00652FA2">
        <w:t>Lead and contribute to public policy processes and governance</w:t>
      </w:r>
    </w:p>
    <w:p w14:paraId="097379A1" w14:textId="77777777" w:rsidR="00652FA2" w:rsidRPr="00652FA2" w:rsidRDefault="00652FA2" w:rsidP="00652FA2">
      <w:pPr>
        <w:widowControl w:val="0"/>
        <w:numPr>
          <w:ilvl w:val="0"/>
          <w:numId w:val="29"/>
        </w:numPr>
      </w:pPr>
      <w:r w:rsidRPr="00652FA2">
        <w:t>Analyze and solve problems across a broad set of policy issues</w:t>
      </w:r>
    </w:p>
    <w:p w14:paraId="2E0DD375" w14:textId="77777777" w:rsidR="00652FA2" w:rsidRPr="00652FA2" w:rsidRDefault="00652FA2" w:rsidP="00652FA2">
      <w:pPr>
        <w:widowControl w:val="0"/>
        <w:numPr>
          <w:ilvl w:val="0"/>
          <w:numId w:val="29"/>
        </w:numPr>
      </w:pPr>
      <w:r w:rsidRPr="00652FA2">
        <w:t>Articulate public service ethics for engaging in public policy work</w:t>
      </w:r>
    </w:p>
    <w:p w14:paraId="6375EB4B" w14:textId="77777777" w:rsidR="00652FA2" w:rsidRPr="00652FA2" w:rsidRDefault="00652FA2" w:rsidP="00652FA2">
      <w:pPr>
        <w:widowControl w:val="0"/>
        <w:numPr>
          <w:ilvl w:val="0"/>
          <w:numId w:val="29"/>
        </w:numPr>
      </w:pPr>
      <w:r w:rsidRPr="00652FA2">
        <w:t>Work collaboratively with diverse communities and institutions</w:t>
      </w:r>
    </w:p>
    <w:p w14:paraId="3DD09A80" w14:textId="77777777" w:rsidR="00B10748" w:rsidRPr="00652FA2" w:rsidRDefault="00B10748" w:rsidP="00B10748">
      <w:pPr>
        <w:pStyle w:val="HeadingA"/>
      </w:pPr>
    </w:p>
    <w:p w14:paraId="06C3FCD1" w14:textId="77777777" w:rsidR="004C7E08" w:rsidRPr="00652FA2" w:rsidRDefault="004C7E08" w:rsidP="00B10748">
      <w:pPr>
        <w:pStyle w:val="HeadingA"/>
      </w:pPr>
    </w:p>
    <w:p w14:paraId="27C68903" w14:textId="77777777" w:rsidR="00B10748" w:rsidRPr="00652FA2" w:rsidRDefault="004C7E08" w:rsidP="004C7E08">
      <w:pPr>
        <w:pStyle w:val="HeadingA"/>
        <w:jc w:val="left"/>
      </w:pPr>
      <w:r w:rsidRPr="00652FA2">
        <w:t>Program Student Learning Outcomes</w:t>
      </w:r>
    </w:p>
    <w:p w14:paraId="0682FC94" w14:textId="77777777" w:rsidR="004C7E08" w:rsidRPr="00652FA2" w:rsidRDefault="007460FA" w:rsidP="00B10748">
      <w:pPr>
        <w:pStyle w:val="BodyText2"/>
        <w:rPr>
          <w:color w:val="auto"/>
        </w:rPr>
      </w:pPr>
      <w:r w:rsidRPr="00652FA2">
        <w:rPr>
          <w:color w:val="auto"/>
        </w:rPr>
        <w:t xml:space="preserve">The assessment process for student assessment in the MPP program requires both formal, quantitative records of evaluation in the six NASPAA-related learning objectives, as well as informal assessments to maintain quality of instruction by providing feedback among peers. </w:t>
      </w:r>
      <w:r w:rsidR="004C7E08" w:rsidRPr="00652FA2">
        <w:rPr>
          <w:color w:val="auto"/>
        </w:rPr>
        <w:t xml:space="preserve">Students graduating with a </w:t>
      </w:r>
      <w:r w:rsidRPr="00652FA2">
        <w:rPr>
          <w:color w:val="auto"/>
        </w:rPr>
        <w:t>Master</w:t>
      </w:r>
      <w:r w:rsidR="004C7E08" w:rsidRPr="00652FA2">
        <w:rPr>
          <w:color w:val="auto"/>
        </w:rPr>
        <w:t xml:space="preserve"> in</w:t>
      </w:r>
      <w:r w:rsidRPr="00652FA2">
        <w:rPr>
          <w:color w:val="auto"/>
        </w:rPr>
        <w:t xml:space="preserve"> Public Policy</w:t>
      </w:r>
      <w:r w:rsidR="004C7E08" w:rsidRPr="00652FA2">
        <w:rPr>
          <w:color w:val="auto"/>
        </w:rPr>
        <w:t xml:space="preserve"> will be able to:</w:t>
      </w:r>
    </w:p>
    <w:p w14:paraId="6A206DFD" w14:textId="77777777" w:rsidR="007460FA" w:rsidRPr="00652FA2" w:rsidRDefault="007460FA" w:rsidP="007460FA">
      <w:pPr>
        <w:pStyle w:val="BodyText2"/>
        <w:spacing w:before="0"/>
        <w:rPr>
          <w:color w:val="auto"/>
        </w:rPr>
      </w:pPr>
    </w:p>
    <w:p w14:paraId="792873E6" w14:textId="77777777" w:rsidR="007460FA" w:rsidRPr="00652FA2" w:rsidRDefault="007460FA" w:rsidP="007460FA">
      <w:pPr>
        <w:widowControl w:val="0"/>
        <w:numPr>
          <w:ilvl w:val="0"/>
          <w:numId w:val="29"/>
        </w:numPr>
      </w:pPr>
      <w:r w:rsidRPr="00652FA2">
        <w:t>Lead and manage in public policymaking and governance</w:t>
      </w:r>
    </w:p>
    <w:p w14:paraId="1FF33B76" w14:textId="77777777" w:rsidR="007460FA" w:rsidRPr="00652FA2" w:rsidRDefault="007460FA" w:rsidP="007460FA">
      <w:pPr>
        <w:widowControl w:val="0"/>
        <w:numPr>
          <w:ilvl w:val="0"/>
          <w:numId w:val="29"/>
        </w:numPr>
      </w:pPr>
      <w:r w:rsidRPr="00652FA2">
        <w:t>Apply, participate in and contribute to the public policy process</w:t>
      </w:r>
    </w:p>
    <w:p w14:paraId="513CEFEA" w14:textId="77777777" w:rsidR="007460FA" w:rsidRPr="00652FA2" w:rsidRDefault="007460FA" w:rsidP="007460FA">
      <w:pPr>
        <w:widowControl w:val="0"/>
        <w:numPr>
          <w:ilvl w:val="0"/>
          <w:numId w:val="29"/>
        </w:numPr>
      </w:pPr>
      <w:r w:rsidRPr="00652FA2">
        <w:t>Create and apply methods and tools to analyze, synthesize, think critically, solve problems and make decisions across a broad set of policy issues</w:t>
      </w:r>
    </w:p>
    <w:p w14:paraId="29CCB9E1" w14:textId="77777777" w:rsidR="007460FA" w:rsidRPr="00652FA2" w:rsidRDefault="007460FA" w:rsidP="007460FA">
      <w:pPr>
        <w:widowControl w:val="0"/>
        <w:numPr>
          <w:ilvl w:val="0"/>
          <w:numId w:val="29"/>
        </w:numPr>
      </w:pPr>
      <w:r w:rsidRPr="00652FA2">
        <w:t>Articulate a public service perspective to engaging in public policy work</w:t>
      </w:r>
    </w:p>
    <w:p w14:paraId="2E03A65C" w14:textId="77777777" w:rsidR="007460FA" w:rsidRPr="00652FA2" w:rsidRDefault="007460FA" w:rsidP="007460FA">
      <w:pPr>
        <w:widowControl w:val="0"/>
        <w:numPr>
          <w:ilvl w:val="0"/>
          <w:numId w:val="29"/>
        </w:numPr>
      </w:pPr>
      <w:r w:rsidRPr="00652FA2">
        <w:t>Communicate and interact productively with diverse communities and institutions</w:t>
      </w:r>
    </w:p>
    <w:p w14:paraId="5D11E50C" w14:textId="77777777" w:rsidR="004C7E08" w:rsidRPr="00652FA2" w:rsidRDefault="007460FA" w:rsidP="007460FA">
      <w:pPr>
        <w:widowControl w:val="0"/>
        <w:numPr>
          <w:ilvl w:val="0"/>
          <w:numId w:val="29"/>
        </w:numPr>
      </w:pPr>
      <w:r w:rsidRPr="00652FA2">
        <w:t>Analyze the Alaska and Arctic public policy and economic contexts and how to work successfully within them</w:t>
      </w:r>
    </w:p>
    <w:p w14:paraId="128CDE18" w14:textId="77777777" w:rsidR="00B10748" w:rsidRPr="00652FA2" w:rsidRDefault="00B10748" w:rsidP="004C7E08">
      <w:pPr>
        <w:pStyle w:val="HeadingA"/>
        <w:jc w:val="left"/>
        <w:rPr>
          <w:b w:val="0"/>
          <w:smallCaps w:val="0"/>
          <w:sz w:val="24"/>
        </w:rPr>
      </w:pPr>
    </w:p>
    <w:p w14:paraId="4131054D" w14:textId="77777777" w:rsidR="00B10748" w:rsidRPr="00652FA2" w:rsidRDefault="004C7E08" w:rsidP="004C7E08">
      <w:pPr>
        <w:pStyle w:val="HeadingA"/>
        <w:jc w:val="left"/>
      </w:pPr>
      <w:r w:rsidRPr="00652FA2">
        <w:t>Measures</w:t>
      </w:r>
    </w:p>
    <w:bookmarkEnd w:id="2"/>
    <w:p w14:paraId="10A538DC" w14:textId="77777777" w:rsidR="007460FA" w:rsidRPr="00652FA2" w:rsidRDefault="007460FA" w:rsidP="007460FA">
      <w:pPr>
        <w:widowControl w:val="0"/>
      </w:pPr>
      <w:r w:rsidRPr="00652FA2">
        <w:t>Formal methods:</w:t>
      </w:r>
    </w:p>
    <w:p w14:paraId="2D831A41" w14:textId="77777777" w:rsidR="007460FA" w:rsidRPr="00652FA2" w:rsidRDefault="007460FA" w:rsidP="007460FA">
      <w:pPr>
        <w:widowControl w:val="0"/>
        <w:numPr>
          <w:ilvl w:val="0"/>
          <w:numId w:val="30"/>
        </w:numPr>
        <w:ind w:left="720"/>
      </w:pPr>
      <w:r w:rsidRPr="00652FA2">
        <w:tab/>
        <w:t>Sampling student assignments</w:t>
      </w:r>
    </w:p>
    <w:p w14:paraId="1992EA49" w14:textId="77777777" w:rsidR="007460FA" w:rsidRPr="00652FA2" w:rsidRDefault="007460FA" w:rsidP="007460FA">
      <w:pPr>
        <w:widowControl w:val="0"/>
        <w:numPr>
          <w:ilvl w:val="0"/>
          <w:numId w:val="30"/>
        </w:numPr>
        <w:ind w:left="720"/>
      </w:pPr>
      <w:r w:rsidRPr="00652FA2">
        <w:tab/>
      </w:r>
      <w:proofErr w:type="spellStart"/>
      <w:r w:rsidRPr="00652FA2">
        <w:t>Self evaluation</w:t>
      </w:r>
      <w:proofErr w:type="spellEnd"/>
      <w:r w:rsidRPr="00652FA2">
        <w:t xml:space="preserve"> from MPP course instructors</w:t>
      </w:r>
    </w:p>
    <w:p w14:paraId="3432AE9D" w14:textId="77777777" w:rsidR="007460FA" w:rsidRPr="00652FA2" w:rsidRDefault="007460FA" w:rsidP="007460FA">
      <w:pPr>
        <w:widowControl w:val="0"/>
        <w:numPr>
          <w:ilvl w:val="0"/>
          <w:numId w:val="30"/>
        </w:numPr>
        <w:ind w:left="720"/>
      </w:pPr>
      <w:r w:rsidRPr="00652FA2">
        <w:tab/>
        <w:t>Review of capstone and thesis projects</w:t>
      </w:r>
    </w:p>
    <w:p w14:paraId="17618A70" w14:textId="77777777" w:rsidR="007460FA" w:rsidRPr="00652FA2" w:rsidRDefault="007460FA" w:rsidP="007460FA">
      <w:pPr>
        <w:widowControl w:val="0"/>
      </w:pPr>
    </w:p>
    <w:p w14:paraId="1408B685" w14:textId="77777777" w:rsidR="007460FA" w:rsidRPr="00652FA2" w:rsidRDefault="007460FA" w:rsidP="007460FA">
      <w:pPr>
        <w:widowControl w:val="0"/>
      </w:pPr>
      <w:r w:rsidRPr="00652FA2">
        <w:t>Informal methods:</w:t>
      </w:r>
    </w:p>
    <w:p w14:paraId="2D4EB8E6" w14:textId="77777777" w:rsidR="007460FA" w:rsidRPr="00652FA2" w:rsidRDefault="007460FA" w:rsidP="007460FA">
      <w:pPr>
        <w:widowControl w:val="0"/>
        <w:numPr>
          <w:ilvl w:val="0"/>
          <w:numId w:val="30"/>
        </w:numPr>
        <w:ind w:left="720"/>
      </w:pPr>
      <w:r w:rsidRPr="00652FA2">
        <w:tab/>
        <w:t>Faculty peer observations</w:t>
      </w:r>
    </w:p>
    <w:p w14:paraId="40182C51" w14:textId="77777777" w:rsidR="007460FA" w:rsidRPr="00652FA2" w:rsidRDefault="007460FA" w:rsidP="007460FA">
      <w:pPr>
        <w:widowControl w:val="0"/>
        <w:numPr>
          <w:ilvl w:val="0"/>
          <w:numId w:val="30"/>
        </w:numPr>
        <w:ind w:left="720"/>
      </w:pPr>
      <w:r w:rsidRPr="00652FA2">
        <w:tab/>
        <w:t>Discussion of student performance at MPP faculty meetings</w:t>
      </w:r>
    </w:p>
    <w:p w14:paraId="7A68F451" w14:textId="77777777" w:rsidR="007460FA" w:rsidRPr="00652FA2" w:rsidRDefault="007460FA" w:rsidP="007460FA">
      <w:pPr>
        <w:widowControl w:val="0"/>
        <w:numPr>
          <w:ilvl w:val="0"/>
          <w:numId w:val="30"/>
        </w:numPr>
        <w:ind w:left="720"/>
      </w:pPr>
      <w:r w:rsidRPr="00652FA2">
        <w:tab/>
        <w:t>Survey of MPP alumni</w:t>
      </w:r>
    </w:p>
    <w:p w14:paraId="2771BFEA" w14:textId="77777777" w:rsidR="004C7E08" w:rsidRPr="00652FA2" w:rsidRDefault="004C7E08" w:rsidP="007460FA">
      <w:pPr>
        <w:pStyle w:val="HeadingA"/>
        <w:jc w:val="left"/>
      </w:pPr>
    </w:p>
    <w:p w14:paraId="51DC2A7B" w14:textId="77777777" w:rsidR="007460FA" w:rsidRPr="00652FA2" w:rsidRDefault="007460FA" w:rsidP="007460FA">
      <w:r w:rsidRPr="00652FA2">
        <w:t>NASPAA core competencies (course map)</w:t>
      </w:r>
    </w:p>
    <w:tbl>
      <w:tblPr>
        <w:tblW w:w="5000"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50"/>
        <w:gridCol w:w="1456"/>
        <w:gridCol w:w="1416"/>
        <w:gridCol w:w="1380"/>
        <w:gridCol w:w="1362"/>
        <w:gridCol w:w="1382"/>
        <w:gridCol w:w="1380"/>
      </w:tblGrid>
      <w:tr w:rsidR="00652FA2" w:rsidRPr="00652FA2" w14:paraId="37730131" w14:textId="77777777" w:rsidTr="00330E5B">
        <w:trPr>
          <w:trHeight w:val="580"/>
          <w:tblHeader/>
        </w:trPr>
        <w:tc>
          <w:tcPr>
            <w:tcW w:w="770" w:type="pct"/>
          </w:tcPr>
          <w:p w14:paraId="06568C8D" w14:textId="77777777" w:rsidR="007460FA" w:rsidRPr="00652FA2" w:rsidRDefault="007460FA" w:rsidP="00484024">
            <w:r w:rsidRPr="00652FA2">
              <w:t>Course</w:t>
            </w:r>
          </w:p>
        </w:tc>
        <w:tc>
          <w:tcPr>
            <w:tcW w:w="724" w:type="pct"/>
          </w:tcPr>
          <w:p w14:paraId="415AA4DC" w14:textId="77777777" w:rsidR="007460FA" w:rsidRPr="00652FA2" w:rsidRDefault="007460FA" w:rsidP="00484024">
            <w:r w:rsidRPr="00652FA2">
              <w:t>Lead &amp; manage</w:t>
            </w:r>
          </w:p>
        </w:tc>
        <w:tc>
          <w:tcPr>
            <w:tcW w:w="718" w:type="pct"/>
          </w:tcPr>
          <w:p w14:paraId="4D736922" w14:textId="77777777" w:rsidR="007460FA" w:rsidRPr="00652FA2" w:rsidRDefault="007460FA" w:rsidP="00484024">
            <w:r w:rsidRPr="00652FA2">
              <w:t>Participate in policy</w:t>
            </w:r>
          </w:p>
        </w:tc>
        <w:tc>
          <w:tcPr>
            <w:tcW w:w="699" w:type="pct"/>
          </w:tcPr>
          <w:p w14:paraId="5F9515B1" w14:textId="77777777" w:rsidR="007460FA" w:rsidRPr="00652FA2" w:rsidRDefault="007460FA" w:rsidP="00484024">
            <w:r w:rsidRPr="00652FA2">
              <w:t>Analytics  decisions</w:t>
            </w:r>
          </w:p>
        </w:tc>
        <w:tc>
          <w:tcPr>
            <w:tcW w:w="690" w:type="pct"/>
          </w:tcPr>
          <w:p w14:paraId="756E070E" w14:textId="77777777" w:rsidR="007460FA" w:rsidRPr="00652FA2" w:rsidRDefault="007460FA" w:rsidP="00484024">
            <w:r w:rsidRPr="00652FA2">
              <w:t>Public Service</w:t>
            </w:r>
          </w:p>
        </w:tc>
        <w:tc>
          <w:tcPr>
            <w:tcW w:w="700" w:type="pct"/>
          </w:tcPr>
          <w:p w14:paraId="1911A989" w14:textId="77777777" w:rsidR="007460FA" w:rsidRPr="00652FA2" w:rsidRDefault="007460FA" w:rsidP="00484024">
            <w:r w:rsidRPr="00652FA2">
              <w:t>Comm interact</w:t>
            </w:r>
          </w:p>
        </w:tc>
        <w:tc>
          <w:tcPr>
            <w:tcW w:w="699" w:type="pct"/>
          </w:tcPr>
          <w:p w14:paraId="55A1B393" w14:textId="77777777" w:rsidR="007460FA" w:rsidRPr="00652FA2" w:rsidRDefault="007460FA" w:rsidP="00484024">
            <w:r w:rsidRPr="00652FA2">
              <w:t>Alaska context</w:t>
            </w:r>
          </w:p>
        </w:tc>
      </w:tr>
      <w:tr w:rsidR="00652FA2" w:rsidRPr="00652FA2" w14:paraId="17318544" w14:textId="77777777" w:rsidTr="007460FA">
        <w:trPr>
          <w:trHeight w:val="260"/>
        </w:trPr>
        <w:tc>
          <w:tcPr>
            <w:tcW w:w="770" w:type="pct"/>
          </w:tcPr>
          <w:p w14:paraId="52019921" w14:textId="77777777" w:rsidR="007460FA" w:rsidRPr="00652FA2" w:rsidRDefault="007460FA" w:rsidP="00484024">
            <w:r w:rsidRPr="00652FA2">
              <w:t>601 Intro</w:t>
            </w:r>
          </w:p>
          <w:p w14:paraId="225C6925" w14:textId="77777777" w:rsidR="007460FA" w:rsidRPr="00652FA2" w:rsidRDefault="007460FA" w:rsidP="00484024"/>
        </w:tc>
        <w:tc>
          <w:tcPr>
            <w:tcW w:w="724" w:type="pct"/>
          </w:tcPr>
          <w:p w14:paraId="4E3A8855" w14:textId="77777777" w:rsidR="007460FA" w:rsidRPr="00652FA2" w:rsidRDefault="007460FA" w:rsidP="00484024"/>
        </w:tc>
        <w:tc>
          <w:tcPr>
            <w:tcW w:w="718" w:type="pct"/>
          </w:tcPr>
          <w:p w14:paraId="368D0131" w14:textId="77777777" w:rsidR="007460FA" w:rsidRPr="00652FA2" w:rsidRDefault="007460FA" w:rsidP="00484024"/>
        </w:tc>
        <w:tc>
          <w:tcPr>
            <w:tcW w:w="699" w:type="pct"/>
          </w:tcPr>
          <w:p w14:paraId="5A73863F" w14:textId="77777777" w:rsidR="007460FA" w:rsidRPr="00652FA2" w:rsidRDefault="007460FA" w:rsidP="00484024"/>
        </w:tc>
        <w:tc>
          <w:tcPr>
            <w:tcW w:w="690" w:type="pct"/>
          </w:tcPr>
          <w:p w14:paraId="1CF209BD" w14:textId="77777777" w:rsidR="007460FA" w:rsidRPr="00652FA2" w:rsidRDefault="007460FA" w:rsidP="00484024">
            <w:r w:rsidRPr="00652FA2">
              <w:t>X (Primary)</w:t>
            </w:r>
          </w:p>
        </w:tc>
        <w:tc>
          <w:tcPr>
            <w:tcW w:w="700" w:type="pct"/>
          </w:tcPr>
          <w:p w14:paraId="0C6C4BE3" w14:textId="77777777" w:rsidR="007460FA" w:rsidRPr="00652FA2" w:rsidRDefault="007460FA" w:rsidP="00484024"/>
        </w:tc>
        <w:tc>
          <w:tcPr>
            <w:tcW w:w="699" w:type="pct"/>
          </w:tcPr>
          <w:p w14:paraId="31A80E18" w14:textId="77777777" w:rsidR="007460FA" w:rsidRPr="00652FA2" w:rsidRDefault="007460FA" w:rsidP="00484024"/>
        </w:tc>
      </w:tr>
      <w:tr w:rsidR="00652FA2" w:rsidRPr="00652FA2" w14:paraId="6100C595" w14:textId="77777777" w:rsidTr="007460FA">
        <w:trPr>
          <w:trHeight w:val="280"/>
        </w:trPr>
        <w:tc>
          <w:tcPr>
            <w:tcW w:w="770" w:type="pct"/>
          </w:tcPr>
          <w:p w14:paraId="61D22D4F" w14:textId="77777777" w:rsidR="007460FA" w:rsidRPr="00652FA2" w:rsidRDefault="007460FA" w:rsidP="00484024">
            <w:r w:rsidRPr="00652FA2">
              <w:t>604 Methods</w:t>
            </w:r>
          </w:p>
          <w:p w14:paraId="572124F6" w14:textId="77777777" w:rsidR="007460FA" w:rsidRPr="00652FA2" w:rsidRDefault="007460FA" w:rsidP="00484024"/>
        </w:tc>
        <w:tc>
          <w:tcPr>
            <w:tcW w:w="724" w:type="pct"/>
          </w:tcPr>
          <w:p w14:paraId="2D93D579" w14:textId="77777777" w:rsidR="007460FA" w:rsidRPr="00652FA2" w:rsidRDefault="007460FA" w:rsidP="00484024"/>
        </w:tc>
        <w:tc>
          <w:tcPr>
            <w:tcW w:w="718" w:type="pct"/>
          </w:tcPr>
          <w:p w14:paraId="1B715036" w14:textId="77777777" w:rsidR="007460FA" w:rsidRPr="00652FA2" w:rsidRDefault="007460FA" w:rsidP="00484024"/>
        </w:tc>
        <w:tc>
          <w:tcPr>
            <w:tcW w:w="699" w:type="pct"/>
          </w:tcPr>
          <w:p w14:paraId="651EE582" w14:textId="77777777" w:rsidR="007460FA" w:rsidRPr="00652FA2" w:rsidRDefault="007460FA" w:rsidP="00484024">
            <w:r w:rsidRPr="00652FA2">
              <w:t>X (Primary)</w:t>
            </w:r>
          </w:p>
        </w:tc>
        <w:tc>
          <w:tcPr>
            <w:tcW w:w="690" w:type="pct"/>
          </w:tcPr>
          <w:p w14:paraId="6D578769" w14:textId="77777777" w:rsidR="007460FA" w:rsidRPr="00652FA2" w:rsidRDefault="007460FA" w:rsidP="00484024"/>
        </w:tc>
        <w:tc>
          <w:tcPr>
            <w:tcW w:w="700" w:type="pct"/>
          </w:tcPr>
          <w:p w14:paraId="51F2C985" w14:textId="77777777" w:rsidR="007460FA" w:rsidRPr="00652FA2" w:rsidRDefault="007460FA" w:rsidP="00484024"/>
        </w:tc>
        <w:tc>
          <w:tcPr>
            <w:tcW w:w="699" w:type="pct"/>
          </w:tcPr>
          <w:p w14:paraId="6A29CF40" w14:textId="77777777" w:rsidR="007460FA" w:rsidRPr="00652FA2" w:rsidRDefault="007460FA" w:rsidP="00484024"/>
        </w:tc>
      </w:tr>
      <w:tr w:rsidR="00652FA2" w:rsidRPr="00652FA2" w14:paraId="59199E84" w14:textId="77777777" w:rsidTr="007460FA">
        <w:trPr>
          <w:trHeight w:val="280"/>
        </w:trPr>
        <w:tc>
          <w:tcPr>
            <w:tcW w:w="770" w:type="pct"/>
          </w:tcPr>
          <w:p w14:paraId="75A8BE37" w14:textId="77777777" w:rsidR="007460FA" w:rsidRPr="00652FA2" w:rsidRDefault="007460FA" w:rsidP="00330E5B">
            <w:r w:rsidRPr="00652FA2">
              <w:lastRenderedPageBreak/>
              <w:t>625 Econ</w:t>
            </w:r>
          </w:p>
        </w:tc>
        <w:tc>
          <w:tcPr>
            <w:tcW w:w="724" w:type="pct"/>
          </w:tcPr>
          <w:p w14:paraId="6596430F" w14:textId="77777777" w:rsidR="007460FA" w:rsidRPr="00652FA2" w:rsidRDefault="007460FA" w:rsidP="00484024"/>
        </w:tc>
        <w:tc>
          <w:tcPr>
            <w:tcW w:w="718" w:type="pct"/>
          </w:tcPr>
          <w:p w14:paraId="509772AF" w14:textId="77777777" w:rsidR="007460FA" w:rsidRPr="00652FA2" w:rsidRDefault="007460FA" w:rsidP="00484024"/>
        </w:tc>
        <w:tc>
          <w:tcPr>
            <w:tcW w:w="699" w:type="pct"/>
          </w:tcPr>
          <w:p w14:paraId="5D17946A" w14:textId="77777777" w:rsidR="007460FA" w:rsidRPr="00652FA2" w:rsidRDefault="007460FA" w:rsidP="00484024">
            <w:r w:rsidRPr="00652FA2">
              <w:t>X (Primary)</w:t>
            </w:r>
          </w:p>
        </w:tc>
        <w:tc>
          <w:tcPr>
            <w:tcW w:w="690" w:type="pct"/>
          </w:tcPr>
          <w:p w14:paraId="6CA59579" w14:textId="77777777" w:rsidR="007460FA" w:rsidRPr="00652FA2" w:rsidRDefault="007460FA" w:rsidP="00484024"/>
        </w:tc>
        <w:tc>
          <w:tcPr>
            <w:tcW w:w="700" w:type="pct"/>
          </w:tcPr>
          <w:p w14:paraId="27644389" w14:textId="77777777" w:rsidR="007460FA" w:rsidRPr="00652FA2" w:rsidRDefault="007460FA" w:rsidP="00484024"/>
        </w:tc>
        <w:tc>
          <w:tcPr>
            <w:tcW w:w="699" w:type="pct"/>
          </w:tcPr>
          <w:p w14:paraId="4C7FACEB" w14:textId="77777777" w:rsidR="007460FA" w:rsidRPr="00652FA2" w:rsidRDefault="007460FA" w:rsidP="00484024"/>
        </w:tc>
      </w:tr>
      <w:tr w:rsidR="00652FA2" w:rsidRPr="00652FA2" w14:paraId="18BA88FC" w14:textId="77777777" w:rsidTr="007460FA">
        <w:trPr>
          <w:trHeight w:val="260"/>
        </w:trPr>
        <w:tc>
          <w:tcPr>
            <w:tcW w:w="770" w:type="pct"/>
          </w:tcPr>
          <w:p w14:paraId="46E3246A" w14:textId="77777777" w:rsidR="007460FA" w:rsidRPr="00652FA2" w:rsidRDefault="007460FA" w:rsidP="00484024">
            <w:r w:rsidRPr="00652FA2">
              <w:t>606 Policymaking</w:t>
            </w:r>
          </w:p>
        </w:tc>
        <w:tc>
          <w:tcPr>
            <w:tcW w:w="724" w:type="pct"/>
          </w:tcPr>
          <w:p w14:paraId="12F8D705" w14:textId="77777777" w:rsidR="007460FA" w:rsidRPr="00652FA2" w:rsidRDefault="007460FA" w:rsidP="00484024">
            <w:r w:rsidRPr="00652FA2">
              <w:t>X Policy proposal (primary competency)</w:t>
            </w:r>
          </w:p>
        </w:tc>
        <w:tc>
          <w:tcPr>
            <w:tcW w:w="718" w:type="pct"/>
          </w:tcPr>
          <w:p w14:paraId="6F5D8C7E" w14:textId="77777777" w:rsidR="007460FA" w:rsidRPr="00652FA2" w:rsidRDefault="007460FA" w:rsidP="00484024">
            <w:r w:rsidRPr="00652FA2">
              <w:t>X (Primary)</w:t>
            </w:r>
          </w:p>
        </w:tc>
        <w:tc>
          <w:tcPr>
            <w:tcW w:w="699" w:type="pct"/>
          </w:tcPr>
          <w:p w14:paraId="72E3A805" w14:textId="77777777" w:rsidR="007460FA" w:rsidRPr="00652FA2" w:rsidRDefault="007460FA" w:rsidP="00484024"/>
        </w:tc>
        <w:tc>
          <w:tcPr>
            <w:tcW w:w="690" w:type="pct"/>
          </w:tcPr>
          <w:p w14:paraId="22B1B789" w14:textId="77777777" w:rsidR="007460FA" w:rsidRPr="00652FA2" w:rsidRDefault="007460FA" w:rsidP="00484024"/>
        </w:tc>
        <w:tc>
          <w:tcPr>
            <w:tcW w:w="700" w:type="pct"/>
          </w:tcPr>
          <w:p w14:paraId="16DAD605" w14:textId="77777777" w:rsidR="007460FA" w:rsidRPr="00652FA2" w:rsidRDefault="007460FA" w:rsidP="00484024"/>
        </w:tc>
        <w:tc>
          <w:tcPr>
            <w:tcW w:w="699" w:type="pct"/>
          </w:tcPr>
          <w:p w14:paraId="645129B9" w14:textId="77777777" w:rsidR="007460FA" w:rsidRPr="00652FA2" w:rsidRDefault="007460FA" w:rsidP="00484024"/>
        </w:tc>
      </w:tr>
      <w:tr w:rsidR="00652FA2" w:rsidRPr="00652FA2" w14:paraId="0615927D" w14:textId="77777777" w:rsidTr="007460FA">
        <w:trPr>
          <w:trHeight w:val="280"/>
        </w:trPr>
        <w:tc>
          <w:tcPr>
            <w:tcW w:w="770" w:type="pct"/>
          </w:tcPr>
          <w:p w14:paraId="4725D8CE" w14:textId="77777777" w:rsidR="007460FA" w:rsidRPr="00652FA2" w:rsidRDefault="007460FA" w:rsidP="00484024">
            <w:r w:rsidRPr="00652FA2">
              <w:t>688 Program Eval/ 632 Policy Analysis</w:t>
            </w:r>
          </w:p>
        </w:tc>
        <w:tc>
          <w:tcPr>
            <w:tcW w:w="724" w:type="pct"/>
          </w:tcPr>
          <w:p w14:paraId="11FB2597" w14:textId="77777777" w:rsidR="007460FA" w:rsidRPr="00652FA2" w:rsidRDefault="007460FA" w:rsidP="00484024"/>
        </w:tc>
        <w:tc>
          <w:tcPr>
            <w:tcW w:w="718" w:type="pct"/>
          </w:tcPr>
          <w:p w14:paraId="6ADDC1A8" w14:textId="77777777" w:rsidR="007460FA" w:rsidRPr="00652FA2" w:rsidRDefault="007460FA" w:rsidP="00484024"/>
        </w:tc>
        <w:tc>
          <w:tcPr>
            <w:tcW w:w="699" w:type="pct"/>
          </w:tcPr>
          <w:p w14:paraId="585B45E3" w14:textId="77777777" w:rsidR="007460FA" w:rsidRPr="00652FA2" w:rsidRDefault="007460FA" w:rsidP="00484024">
            <w:r w:rsidRPr="00652FA2">
              <w:t>X (Primary)</w:t>
            </w:r>
          </w:p>
        </w:tc>
        <w:tc>
          <w:tcPr>
            <w:tcW w:w="690" w:type="pct"/>
          </w:tcPr>
          <w:p w14:paraId="4094F90B" w14:textId="77777777" w:rsidR="007460FA" w:rsidRPr="00652FA2" w:rsidRDefault="007460FA" w:rsidP="00484024"/>
        </w:tc>
        <w:tc>
          <w:tcPr>
            <w:tcW w:w="700" w:type="pct"/>
          </w:tcPr>
          <w:p w14:paraId="2E230432" w14:textId="77777777" w:rsidR="007460FA" w:rsidRPr="00652FA2" w:rsidRDefault="007460FA" w:rsidP="00484024"/>
        </w:tc>
        <w:tc>
          <w:tcPr>
            <w:tcW w:w="699" w:type="pct"/>
          </w:tcPr>
          <w:p w14:paraId="1064CCE8" w14:textId="77777777" w:rsidR="007460FA" w:rsidRPr="00652FA2" w:rsidRDefault="007460FA" w:rsidP="00484024"/>
        </w:tc>
      </w:tr>
      <w:tr w:rsidR="00652FA2" w:rsidRPr="00652FA2" w14:paraId="3B27BF5A" w14:textId="77777777" w:rsidTr="007460FA">
        <w:trPr>
          <w:trHeight w:val="260"/>
        </w:trPr>
        <w:tc>
          <w:tcPr>
            <w:tcW w:w="770" w:type="pct"/>
          </w:tcPr>
          <w:p w14:paraId="04A16D5A" w14:textId="77777777" w:rsidR="007460FA" w:rsidRPr="00652FA2" w:rsidRDefault="007460FA" w:rsidP="00484024">
            <w:r w:rsidRPr="00652FA2">
              <w:t>650 Alaska policy</w:t>
            </w:r>
          </w:p>
        </w:tc>
        <w:tc>
          <w:tcPr>
            <w:tcW w:w="724" w:type="pct"/>
          </w:tcPr>
          <w:p w14:paraId="3FECC20E" w14:textId="77777777" w:rsidR="007460FA" w:rsidRPr="00652FA2" w:rsidRDefault="007460FA" w:rsidP="00484024"/>
        </w:tc>
        <w:tc>
          <w:tcPr>
            <w:tcW w:w="718" w:type="pct"/>
          </w:tcPr>
          <w:p w14:paraId="78DD5AF0" w14:textId="77777777" w:rsidR="007460FA" w:rsidRPr="00652FA2" w:rsidRDefault="007460FA" w:rsidP="00484024"/>
        </w:tc>
        <w:tc>
          <w:tcPr>
            <w:tcW w:w="699" w:type="pct"/>
          </w:tcPr>
          <w:p w14:paraId="5EF6B0CE" w14:textId="77777777" w:rsidR="007460FA" w:rsidRPr="00652FA2" w:rsidRDefault="007460FA" w:rsidP="00484024"/>
        </w:tc>
        <w:tc>
          <w:tcPr>
            <w:tcW w:w="690" w:type="pct"/>
          </w:tcPr>
          <w:p w14:paraId="38E9C659" w14:textId="77777777" w:rsidR="007460FA" w:rsidRPr="00652FA2" w:rsidRDefault="007460FA" w:rsidP="00484024"/>
        </w:tc>
        <w:tc>
          <w:tcPr>
            <w:tcW w:w="700" w:type="pct"/>
          </w:tcPr>
          <w:p w14:paraId="7B6B134E" w14:textId="77777777" w:rsidR="007460FA" w:rsidRPr="00652FA2" w:rsidRDefault="007460FA" w:rsidP="00484024">
            <w:r w:rsidRPr="00652FA2">
              <w:t>X (Primary)</w:t>
            </w:r>
          </w:p>
        </w:tc>
        <w:tc>
          <w:tcPr>
            <w:tcW w:w="699" w:type="pct"/>
          </w:tcPr>
          <w:p w14:paraId="55D08268" w14:textId="77777777" w:rsidR="007460FA" w:rsidRPr="00652FA2" w:rsidRDefault="007460FA" w:rsidP="00484024">
            <w:r w:rsidRPr="00652FA2">
              <w:t>X (Primary)</w:t>
            </w:r>
          </w:p>
        </w:tc>
      </w:tr>
      <w:tr w:rsidR="00652FA2" w:rsidRPr="00652FA2" w14:paraId="3A9CCE2E" w14:textId="77777777" w:rsidTr="007460FA">
        <w:trPr>
          <w:trHeight w:val="260"/>
        </w:trPr>
        <w:tc>
          <w:tcPr>
            <w:tcW w:w="770" w:type="pct"/>
          </w:tcPr>
          <w:p w14:paraId="7EE4A4ED" w14:textId="77777777" w:rsidR="007460FA" w:rsidRPr="00652FA2" w:rsidRDefault="007460FA" w:rsidP="00484024">
            <w:r w:rsidRPr="00652FA2">
              <w:t>628 Financial management</w:t>
            </w:r>
          </w:p>
        </w:tc>
        <w:tc>
          <w:tcPr>
            <w:tcW w:w="724" w:type="pct"/>
          </w:tcPr>
          <w:p w14:paraId="24981202" w14:textId="77777777" w:rsidR="007460FA" w:rsidRPr="00652FA2" w:rsidRDefault="007460FA" w:rsidP="00484024">
            <w:r w:rsidRPr="00652FA2">
              <w:t>X (Secondary)</w:t>
            </w:r>
          </w:p>
        </w:tc>
        <w:tc>
          <w:tcPr>
            <w:tcW w:w="718" w:type="pct"/>
          </w:tcPr>
          <w:p w14:paraId="78F79E94" w14:textId="77777777" w:rsidR="007460FA" w:rsidRPr="00652FA2" w:rsidRDefault="007460FA" w:rsidP="00484024"/>
        </w:tc>
        <w:tc>
          <w:tcPr>
            <w:tcW w:w="699" w:type="pct"/>
          </w:tcPr>
          <w:p w14:paraId="4E8B9B63" w14:textId="77777777" w:rsidR="007460FA" w:rsidRPr="00652FA2" w:rsidRDefault="007460FA" w:rsidP="00484024"/>
        </w:tc>
        <w:tc>
          <w:tcPr>
            <w:tcW w:w="690" w:type="pct"/>
          </w:tcPr>
          <w:p w14:paraId="5CD4F61C" w14:textId="77777777" w:rsidR="007460FA" w:rsidRPr="00652FA2" w:rsidRDefault="007460FA" w:rsidP="00484024"/>
        </w:tc>
        <w:tc>
          <w:tcPr>
            <w:tcW w:w="700" w:type="pct"/>
          </w:tcPr>
          <w:p w14:paraId="70F28582" w14:textId="77777777" w:rsidR="007460FA" w:rsidRPr="00652FA2" w:rsidRDefault="007460FA" w:rsidP="00484024"/>
        </w:tc>
        <w:tc>
          <w:tcPr>
            <w:tcW w:w="699" w:type="pct"/>
          </w:tcPr>
          <w:p w14:paraId="22F8B74D" w14:textId="77777777" w:rsidR="007460FA" w:rsidRPr="00652FA2" w:rsidRDefault="007460FA" w:rsidP="00484024"/>
        </w:tc>
      </w:tr>
      <w:tr w:rsidR="00652FA2" w:rsidRPr="00652FA2" w14:paraId="2C731E1F" w14:textId="77777777" w:rsidTr="007460FA">
        <w:trPr>
          <w:trHeight w:val="260"/>
        </w:trPr>
        <w:tc>
          <w:tcPr>
            <w:tcW w:w="770" w:type="pct"/>
          </w:tcPr>
          <w:p w14:paraId="2C9E7FF2" w14:textId="77777777" w:rsidR="007460FA" w:rsidRPr="00652FA2" w:rsidRDefault="007460FA" w:rsidP="00484024">
            <w:r w:rsidRPr="00652FA2">
              <w:t>651 Arctic policy</w:t>
            </w:r>
          </w:p>
        </w:tc>
        <w:tc>
          <w:tcPr>
            <w:tcW w:w="724" w:type="pct"/>
          </w:tcPr>
          <w:p w14:paraId="579F3A75" w14:textId="77777777" w:rsidR="007460FA" w:rsidRPr="00652FA2" w:rsidRDefault="007460FA" w:rsidP="00484024"/>
        </w:tc>
        <w:tc>
          <w:tcPr>
            <w:tcW w:w="718" w:type="pct"/>
          </w:tcPr>
          <w:p w14:paraId="129288A7" w14:textId="77777777" w:rsidR="007460FA" w:rsidRPr="00652FA2" w:rsidRDefault="007460FA" w:rsidP="00484024">
            <w:r w:rsidRPr="00652FA2">
              <w:t>x(Primary)</w:t>
            </w:r>
          </w:p>
        </w:tc>
        <w:tc>
          <w:tcPr>
            <w:tcW w:w="699" w:type="pct"/>
          </w:tcPr>
          <w:p w14:paraId="1A912299" w14:textId="77777777" w:rsidR="007460FA" w:rsidRPr="00652FA2" w:rsidRDefault="007460FA" w:rsidP="00484024"/>
        </w:tc>
        <w:tc>
          <w:tcPr>
            <w:tcW w:w="690" w:type="pct"/>
          </w:tcPr>
          <w:p w14:paraId="4CE8F656" w14:textId="77777777" w:rsidR="007460FA" w:rsidRPr="00652FA2" w:rsidRDefault="007460FA" w:rsidP="00484024"/>
        </w:tc>
        <w:tc>
          <w:tcPr>
            <w:tcW w:w="700" w:type="pct"/>
          </w:tcPr>
          <w:p w14:paraId="203F2845" w14:textId="77777777" w:rsidR="007460FA" w:rsidRPr="00652FA2" w:rsidRDefault="007460FA" w:rsidP="00484024"/>
        </w:tc>
        <w:tc>
          <w:tcPr>
            <w:tcW w:w="699" w:type="pct"/>
          </w:tcPr>
          <w:p w14:paraId="31F8AF8A" w14:textId="77777777" w:rsidR="007460FA" w:rsidRPr="00652FA2" w:rsidRDefault="007460FA" w:rsidP="00484024">
            <w:r w:rsidRPr="00652FA2">
              <w:t>X (Primary)</w:t>
            </w:r>
          </w:p>
        </w:tc>
      </w:tr>
      <w:tr w:rsidR="00652FA2" w:rsidRPr="00652FA2" w14:paraId="08026668" w14:textId="77777777" w:rsidTr="007460FA">
        <w:trPr>
          <w:trHeight w:val="260"/>
        </w:trPr>
        <w:tc>
          <w:tcPr>
            <w:tcW w:w="770" w:type="pct"/>
          </w:tcPr>
          <w:p w14:paraId="57574EB2" w14:textId="77777777" w:rsidR="007460FA" w:rsidRPr="00652FA2" w:rsidRDefault="007460FA" w:rsidP="00330E5B">
            <w:r w:rsidRPr="00652FA2">
              <w:t>660/661 Capstone</w:t>
            </w:r>
          </w:p>
        </w:tc>
        <w:tc>
          <w:tcPr>
            <w:tcW w:w="724" w:type="pct"/>
          </w:tcPr>
          <w:p w14:paraId="4B72EEC9" w14:textId="77777777" w:rsidR="007460FA" w:rsidRPr="00652FA2" w:rsidRDefault="007460FA" w:rsidP="00484024">
            <w:r w:rsidRPr="00652FA2">
              <w:t>x (Secondary)</w:t>
            </w:r>
          </w:p>
        </w:tc>
        <w:tc>
          <w:tcPr>
            <w:tcW w:w="718" w:type="pct"/>
          </w:tcPr>
          <w:p w14:paraId="133F72FC" w14:textId="77777777" w:rsidR="007460FA" w:rsidRPr="00652FA2" w:rsidRDefault="007460FA" w:rsidP="00484024">
            <w:r w:rsidRPr="00652FA2">
              <w:t>X (Primary)</w:t>
            </w:r>
          </w:p>
        </w:tc>
        <w:tc>
          <w:tcPr>
            <w:tcW w:w="699" w:type="pct"/>
          </w:tcPr>
          <w:p w14:paraId="042AD87C" w14:textId="77777777" w:rsidR="007460FA" w:rsidRPr="00652FA2" w:rsidRDefault="007460FA" w:rsidP="00484024"/>
        </w:tc>
        <w:tc>
          <w:tcPr>
            <w:tcW w:w="690" w:type="pct"/>
          </w:tcPr>
          <w:p w14:paraId="7ABFC397" w14:textId="77777777" w:rsidR="007460FA" w:rsidRPr="00652FA2" w:rsidRDefault="007460FA" w:rsidP="00484024">
            <w:r w:rsidRPr="00652FA2">
              <w:t>X (Primary)</w:t>
            </w:r>
          </w:p>
        </w:tc>
        <w:tc>
          <w:tcPr>
            <w:tcW w:w="700" w:type="pct"/>
          </w:tcPr>
          <w:p w14:paraId="29BF810D" w14:textId="77777777" w:rsidR="007460FA" w:rsidRPr="00652FA2" w:rsidRDefault="007460FA" w:rsidP="00484024">
            <w:r w:rsidRPr="00652FA2">
              <w:t>X (Primary)</w:t>
            </w:r>
          </w:p>
        </w:tc>
        <w:tc>
          <w:tcPr>
            <w:tcW w:w="699" w:type="pct"/>
          </w:tcPr>
          <w:p w14:paraId="32C699AE" w14:textId="77777777" w:rsidR="007460FA" w:rsidRPr="00652FA2" w:rsidRDefault="007460FA" w:rsidP="00484024"/>
        </w:tc>
      </w:tr>
    </w:tbl>
    <w:p w14:paraId="5F1F4E1D" w14:textId="77777777" w:rsidR="007460FA" w:rsidRPr="00652FA2" w:rsidRDefault="007460FA" w:rsidP="007460FA">
      <w:pPr>
        <w:pStyle w:val="HeadingA"/>
        <w:jc w:val="left"/>
      </w:pPr>
      <w:bookmarkStart w:id="4" w:name="_heading=h.gjdgxs" w:colFirst="0" w:colLast="0"/>
      <w:bookmarkEnd w:id="4"/>
    </w:p>
    <w:p w14:paraId="4F04A06D" w14:textId="77777777" w:rsidR="004C7E08" w:rsidRPr="00652FA2" w:rsidRDefault="004C7E08" w:rsidP="004C7E08">
      <w:pPr>
        <w:pStyle w:val="HeadingA"/>
      </w:pPr>
    </w:p>
    <w:p w14:paraId="7F8B5308" w14:textId="77777777" w:rsidR="004C7E08" w:rsidRPr="00652FA2" w:rsidRDefault="004C7E08" w:rsidP="004C7E08">
      <w:pPr>
        <w:pStyle w:val="HeadingA"/>
        <w:jc w:val="left"/>
      </w:pPr>
      <w:r w:rsidRPr="00652FA2">
        <w:t>Process</w:t>
      </w:r>
    </w:p>
    <w:p w14:paraId="1EFD4727" w14:textId="77777777" w:rsidR="007460FA" w:rsidRPr="00652FA2" w:rsidRDefault="007460FA" w:rsidP="007460FA">
      <w:pPr>
        <w:widowControl w:val="0"/>
      </w:pPr>
      <w:r w:rsidRPr="00652FA2">
        <w:t>The MPP director will be responsible for all record-keeping, in coordination with CBPP staff and in accordance with FERPA regulations.</w:t>
      </w:r>
    </w:p>
    <w:p w14:paraId="759F76B6" w14:textId="77777777" w:rsidR="007460FA" w:rsidRPr="00652FA2" w:rsidRDefault="007460FA" w:rsidP="007460FA">
      <w:pPr>
        <w:widowControl w:val="0"/>
      </w:pPr>
    </w:p>
    <w:p w14:paraId="019A1244" w14:textId="77777777" w:rsidR="007460FA" w:rsidRPr="00652FA2" w:rsidRDefault="007460FA" w:rsidP="007460FA">
      <w:pPr>
        <w:widowControl w:val="0"/>
      </w:pPr>
      <w:r w:rsidRPr="00652FA2">
        <w:t>Formal assessments:</w:t>
      </w:r>
    </w:p>
    <w:p w14:paraId="0EBB6EC8" w14:textId="77777777" w:rsidR="007460FA" w:rsidRPr="00652FA2" w:rsidRDefault="007460FA" w:rsidP="007460FA">
      <w:pPr>
        <w:widowControl w:val="0"/>
      </w:pPr>
    </w:p>
    <w:p w14:paraId="4795AB59" w14:textId="77777777" w:rsidR="007460FA" w:rsidRPr="00652FA2" w:rsidRDefault="007460FA" w:rsidP="007460FA">
      <w:pPr>
        <w:widowControl w:val="0"/>
      </w:pPr>
      <w:r w:rsidRPr="00652FA2">
        <w:t>Formal assessment of student learning in the CBPP MPP program will begin with the first semester of the program, projected in fall 2020. Formal assessments are intended to keep and maintain a quantitative record of students’ ability to reach accredited standard in six learning objective categories, aligned with NASPAA accreditation standards. A combination of methods provides the best breadth of potential assessment, beginning with introductory courses and concepts of public service, to understanding of analytical tools and methods, to the ability to lead manage policy and contribute to the wider community. It is important to note that MPP programs and associated accreditation standards require not only mastery of subject matter and analytical tools, but also the demonstrated ability to apply these concepts to policy in a positive manner for the community. By the time student completes a capstone at the end of the MPP program, he or she must demonstrate not only analytical mastery, but a demonstration of public service ethos and leadership potential.</w:t>
      </w:r>
    </w:p>
    <w:p w14:paraId="53DB5F9E" w14:textId="77777777" w:rsidR="007460FA" w:rsidRPr="00652FA2" w:rsidRDefault="007460FA" w:rsidP="007460FA">
      <w:pPr>
        <w:widowControl w:val="0"/>
      </w:pPr>
    </w:p>
    <w:p w14:paraId="21F0104F" w14:textId="77777777" w:rsidR="007460FA" w:rsidRPr="00652FA2" w:rsidRDefault="007460FA" w:rsidP="007460FA">
      <w:pPr>
        <w:widowControl w:val="0"/>
      </w:pPr>
    </w:p>
    <w:p w14:paraId="11AE6D5C" w14:textId="77777777" w:rsidR="007460FA" w:rsidRPr="00652FA2" w:rsidRDefault="002405A4" w:rsidP="007460FA">
      <w:pPr>
        <w:widowControl w:val="0"/>
      </w:pPr>
      <w:r>
        <w:t>Student assignments/self-</w:t>
      </w:r>
      <w:r w:rsidR="007460FA" w:rsidRPr="00652FA2">
        <w:t>evaluation:</w:t>
      </w:r>
    </w:p>
    <w:p w14:paraId="6BA620E9" w14:textId="77777777" w:rsidR="007460FA" w:rsidRPr="00652FA2" w:rsidRDefault="007460FA" w:rsidP="007460FA">
      <w:pPr>
        <w:widowControl w:val="0"/>
      </w:pPr>
      <w:r w:rsidRPr="00652FA2">
        <w:t xml:space="preserve">core competencies for the learning objectives have been identified across the core curriculum for the MPP. In the first year of the program, all competencies should be measured in order to establish a baseline record for evaluation. Following the initial evaluation, a combination of sampling student assignments and self-evaluation of the instructor can be mixed in order to best evaluate MPP students in each learning objective. For example, prior to the beginning of the 2021 – 22 academic year evaluation of learning objective 3 (analytic tools), instructors for 604, 625, and 688 can meet to establish which course assignment would be most appropriate for assessment, and divide </w:t>
      </w:r>
      <w:r w:rsidRPr="00652FA2">
        <w:lastRenderedPageBreak/>
        <w:t>responsibilities so that one course samples student assignments to determine analytic proficiency, while another instructor completes a self-evaluation rubric to assess analytic competencies as a subset of the objectives (e.g. quantitative analysis, qualitative skills, applied program evaluation, etc.). Not all competencies are required to be measured each year. It is the responsibility of the MPP director to ensure that all six competencies are measured over a period of years adequate for NASPAA a</w:t>
      </w:r>
      <w:r w:rsidR="002405A4">
        <w:t>ccreditation standards (a three-</w:t>
      </w:r>
      <w:r w:rsidRPr="00652FA2">
        <w:t>year cycle is standard with small programs).</w:t>
      </w:r>
    </w:p>
    <w:p w14:paraId="5F497737" w14:textId="77777777" w:rsidR="007460FA" w:rsidRPr="00652FA2" w:rsidRDefault="007460FA" w:rsidP="007460FA">
      <w:pPr>
        <w:widowControl w:val="0"/>
      </w:pPr>
    </w:p>
    <w:p w14:paraId="206F5A77" w14:textId="77777777" w:rsidR="007460FA" w:rsidRPr="00652FA2" w:rsidRDefault="007460FA" w:rsidP="007460FA">
      <w:pPr>
        <w:widowControl w:val="0"/>
      </w:pPr>
      <w:r w:rsidRPr="00652FA2">
        <w:t>Capstone:</w:t>
      </w:r>
    </w:p>
    <w:p w14:paraId="6AEE46C4" w14:textId="77777777" w:rsidR="007460FA" w:rsidRPr="00652FA2" w:rsidRDefault="007460FA" w:rsidP="007460FA">
      <w:pPr>
        <w:widowControl w:val="0"/>
      </w:pPr>
      <w:r w:rsidRPr="00652FA2">
        <w:t>Projects for the MPP will be expanded beyond the three credit requirement of the existing MPA program, and instead will be a six credit requirement over two semesters of the second year. The capstone is intended as an applied research project that engages with a critical policy need of the community. The expectation for projects is not only that students are able to provide valuable information to inform policy, but are able to create and propose new policy initiatives. Capstone projects should be regularly evaluated as a measure of student performance, as they should demonstrate mastery of at least three of the six learning objectives within the project itself.</w:t>
      </w:r>
    </w:p>
    <w:p w14:paraId="521DCE9A" w14:textId="77777777" w:rsidR="007460FA" w:rsidRPr="00652FA2" w:rsidRDefault="007460FA" w:rsidP="007460FA">
      <w:pPr>
        <w:widowControl w:val="0"/>
      </w:pPr>
    </w:p>
    <w:p w14:paraId="5C8BDE75" w14:textId="77777777" w:rsidR="004B32D7" w:rsidRPr="004B32D7" w:rsidRDefault="004B32D7" w:rsidP="004B32D7">
      <w:pPr>
        <w:widowControl w:val="0"/>
      </w:pPr>
      <w:r w:rsidRPr="004B32D7">
        <w:t>Curriculum review:</w:t>
      </w:r>
    </w:p>
    <w:p w14:paraId="7CE219A6" w14:textId="77777777" w:rsidR="004B32D7" w:rsidRPr="004B32D7" w:rsidRDefault="004B32D7" w:rsidP="004B32D7">
      <w:pPr>
        <w:widowControl w:val="0"/>
      </w:pPr>
      <w:r w:rsidRPr="004B32D7">
        <w:t>Information gathered from both formal and informal assessments will be reviewed on a two to three-year cycle, with MPP faculty making necessary revisions to course content and curricula as needed to maintain learning objectives most effectively. This ‘closing the loop’ exercise will involve not only the particular courses for with each learning objective is most closely associated, but any related courses or program activities that need to be changed in light of new information or innovations.</w:t>
      </w:r>
    </w:p>
    <w:p w14:paraId="08FEEBC5" w14:textId="77777777" w:rsidR="004B32D7" w:rsidRDefault="004B32D7" w:rsidP="007460FA">
      <w:pPr>
        <w:widowControl w:val="0"/>
      </w:pPr>
    </w:p>
    <w:p w14:paraId="36A79EC9" w14:textId="77777777" w:rsidR="007460FA" w:rsidRPr="00652FA2" w:rsidRDefault="007460FA" w:rsidP="007460FA">
      <w:pPr>
        <w:widowControl w:val="0"/>
      </w:pPr>
      <w:r w:rsidRPr="00652FA2">
        <w:t>Informal assessment:</w:t>
      </w:r>
    </w:p>
    <w:p w14:paraId="57836407" w14:textId="77777777" w:rsidR="007460FA" w:rsidRPr="00652FA2" w:rsidRDefault="007460FA" w:rsidP="007460FA">
      <w:pPr>
        <w:widowControl w:val="0"/>
      </w:pPr>
      <w:r w:rsidRPr="00652FA2">
        <w:t>Peer observations: While not required, MPP faculty are encouraged to have fellow instructors observe and participate in courses on a periodic basis. This is partly meant to prevent subject silos from being created, were faculty in certain specializations have little knowledge what is being taught (or what methods are being used to teach) in other, related courses of the program. Visiting faculty can also provide valuable feedback on how students seem to be responding to material, and qualitative assessments of comparisons between different courses on student engagement and skills.</w:t>
      </w:r>
    </w:p>
    <w:p w14:paraId="66A146AB" w14:textId="77777777" w:rsidR="007460FA" w:rsidRPr="00652FA2" w:rsidRDefault="007460FA" w:rsidP="007460FA">
      <w:pPr>
        <w:widowControl w:val="0"/>
      </w:pPr>
    </w:p>
    <w:p w14:paraId="5420FE10" w14:textId="77777777" w:rsidR="007460FA" w:rsidRPr="00652FA2" w:rsidRDefault="007460FA" w:rsidP="007460FA">
      <w:pPr>
        <w:widowControl w:val="0"/>
      </w:pPr>
      <w:r w:rsidRPr="00652FA2">
        <w:t>Faculty meetings: Regular MPP faculty meetings should be used to discuss if faculty have found either qualitative or quantitative evidence of obstacles in students’ ability to achieve learning objectives, and what changes could be made to programs or courses in order to ensure that students have the skills necessary to complete the program and to achieve the stated learning objectives. This is particularly important given the skills method sequence designed into the MPP program, were material taught in one semester is assumed to be necessary in order to master courses in the next semester. Sequencing of skills in subjects for both the methods and applied policy course tracks should not appear either repetitive or fragmented to students. Coordination between courses can therefore only be achieved by cooperation with the participating faculty.</w:t>
      </w:r>
    </w:p>
    <w:p w14:paraId="10BF93E4" w14:textId="77777777" w:rsidR="007460FA" w:rsidRPr="00652FA2" w:rsidRDefault="007460FA" w:rsidP="007460FA">
      <w:pPr>
        <w:widowControl w:val="0"/>
      </w:pPr>
    </w:p>
    <w:p w14:paraId="209950C5" w14:textId="77777777" w:rsidR="007460FA" w:rsidRPr="00652FA2" w:rsidRDefault="007460FA" w:rsidP="007460FA">
      <w:pPr>
        <w:widowControl w:val="0"/>
      </w:pPr>
      <w:r w:rsidRPr="00652FA2">
        <w:t>Alumni surveys: Follow-up with MPP alumni can be a valuable source of information on how students viewed the value of the program, and what they have learned and applied to their career</w:t>
      </w:r>
      <w:r w:rsidR="002405A4">
        <w:t>s and to the larger community.</w:t>
      </w:r>
    </w:p>
    <w:p w14:paraId="34BC5F39" w14:textId="77777777" w:rsidR="007460FA" w:rsidRPr="00652FA2" w:rsidRDefault="007460FA" w:rsidP="007460FA">
      <w:pPr>
        <w:widowControl w:val="0"/>
      </w:pPr>
    </w:p>
    <w:p w14:paraId="399DD663" w14:textId="77777777" w:rsidR="00D91413" w:rsidRPr="00652FA2" w:rsidRDefault="007460FA" w:rsidP="00330E5B">
      <w:pPr>
        <w:widowControl w:val="0"/>
      </w:pPr>
      <w:r w:rsidRPr="00652FA2">
        <w:t>This communication with graduates cannot be assumed at this time to be comprehensive, information provided by alumni will therefore be assumed to be qualitative, because to provide valuable information on how applicable course and program material is to Alaska and federal policy contexts (or for international students), and can help close the loop on what should be offered for future MPP students.</w:t>
      </w:r>
    </w:p>
    <w:sectPr w:rsidR="00D91413" w:rsidRPr="00652FA2" w:rsidSect="00B10748">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F00B3" w14:textId="77777777" w:rsidR="00484024" w:rsidRDefault="00484024">
      <w:r>
        <w:separator/>
      </w:r>
    </w:p>
  </w:endnote>
  <w:endnote w:type="continuationSeparator" w:id="0">
    <w:p w14:paraId="0E7FDE13" w14:textId="77777777" w:rsidR="00484024" w:rsidRDefault="0048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ylus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9DDB" w14:textId="77777777" w:rsidR="00B10748" w:rsidRDefault="007460FA" w:rsidP="00330E5B">
    <w:pPr>
      <w:pStyle w:val="Footer"/>
      <w:tabs>
        <w:tab w:val="clear" w:pos="4320"/>
        <w:tab w:val="clear" w:pos="8640"/>
      </w:tabs>
      <w:jc w:val="center"/>
      <w:rPr>
        <w:sz w:val="18"/>
        <w:szCs w:val="18"/>
      </w:rPr>
    </w:pPr>
    <w:r w:rsidRPr="00652FA2">
      <w:rPr>
        <w:sz w:val="18"/>
        <w:szCs w:val="18"/>
      </w:rPr>
      <w:t>Master of Public Policy (MPP)</w:t>
    </w:r>
    <w:r w:rsidR="00B10748" w:rsidRPr="00310D3F">
      <w:rPr>
        <w:color w:val="FF0000"/>
        <w:sz w:val="18"/>
        <w:szCs w:val="18"/>
      </w:rPr>
      <w:tab/>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3E3397">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3E3397">
      <w:rPr>
        <w:noProof/>
        <w:sz w:val="18"/>
        <w:szCs w:val="18"/>
      </w:rPr>
      <w:t>4</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62E7" w14:textId="77777777" w:rsidR="00484024" w:rsidRDefault="00484024">
      <w:r>
        <w:separator/>
      </w:r>
    </w:p>
  </w:footnote>
  <w:footnote w:type="continuationSeparator" w:id="0">
    <w:p w14:paraId="544727E9" w14:textId="77777777" w:rsidR="00484024" w:rsidRDefault="0048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1C108FD"/>
    <w:multiLevelType w:val="multilevel"/>
    <w:tmpl w:val="0BAAD7FA"/>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21EC4"/>
    <w:multiLevelType w:val="multilevel"/>
    <w:tmpl w:val="D3EEF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E15B0"/>
    <w:multiLevelType w:val="multilevel"/>
    <w:tmpl w:val="488EE026"/>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rFonts w:ascii="Noto Sans Symbols" w:eastAsia="Noto Sans Symbols" w:hAnsi="Noto Sans Symbols" w:cs="Noto Sans Symbols"/>
        <w:vertAlign w:val="baseline"/>
      </w:rPr>
    </w:lvl>
    <w:lvl w:ilvl="2">
      <w:start w:val="1"/>
      <w:numFmt w:val="decimal"/>
      <w:lvlText w:val="$"/>
      <w:lvlJc w:val="left"/>
      <w:pPr>
        <w:ind w:left="0" w:firstLine="0"/>
      </w:pPr>
      <w:rPr>
        <w:rFonts w:ascii="Noto Sans Symbols" w:eastAsia="Noto Sans Symbols" w:hAnsi="Noto Sans Symbols" w:cs="Noto Sans Symbols"/>
        <w:vertAlign w:val="baseline"/>
      </w:rPr>
    </w:lvl>
    <w:lvl w:ilvl="3">
      <w:start w:val="1"/>
      <w:numFmt w:val="decimal"/>
      <w:lvlText w:val="$"/>
      <w:lvlJc w:val="left"/>
      <w:pPr>
        <w:ind w:left="0" w:firstLine="0"/>
      </w:pPr>
      <w:rPr>
        <w:rFonts w:ascii="Noto Sans Symbols" w:eastAsia="Noto Sans Symbols" w:hAnsi="Noto Sans Symbols" w:cs="Noto Sans Symbols"/>
        <w:vertAlign w:val="baseline"/>
      </w:rPr>
    </w:lvl>
    <w:lvl w:ilvl="4">
      <w:start w:val="1"/>
      <w:numFmt w:val="decimal"/>
      <w:lvlText w:val="$"/>
      <w:lvlJc w:val="left"/>
      <w:pPr>
        <w:ind w:left="0" w:firstLine="0"/>
      </w:pPr>
      <w:rPr>
        <w:rFonts w:ascii="Noto Sans Symbols" w:eastAsia="Noto Sans Symbols" w:hAnsi="Noto Sans Symbols" w:cs="Noto Sans Symbols"/>
        <w:vertAlign w:val="baseline"/>
      </w:rPr>
    </w:lvl>
    <w:lvl w:ilvl="5">
      <w:start w:val="1"/>
      <w:numFmt w:val="decimal"/>
      <w:lvlText w:val="$"/>
      <w:lvlJc w:val="left"/>
      <w:pPr>
        <w:ind w:left="0" w:firstLine="0"/>
      </w:pPr>
      <w:rPr>
        <w:rFonts w:ascii="Noto Sans Symbols" w:eastAsia="Noto Sans Symbols" w:hAnsi="Noto Sans Symbols" w:cs="Noto Sans Symbols"/>
        <w:vertAlign w:val="baseline"/>
      </w:rPr>
    </w:lvl>
    <w:lvl w:ilvl="6">
      <w:start w:val="1"/>
      <w:numFmt w:val="decimal"/>
      <w:lvlText w:val="$"/>
      <w:lvlJc w:val="left"/>
      <w:pPr>
        <w:ind w:left="0" w:firstLine="0"/>
      </w:pPr>
      <w:rPr>
        <w:rFonts w:ascii="Noto Sans Symbols" w:eastAsia="Noto Sans Symbols" w:hAnsi="Noto Sans Symbols" w:cs="Noto Sans Symbols"/>
        <w:vertAlign w:val="baseline"/>
      </w:rPr>
    </w:lvl>
    <w:lvl w:ilvl="7">
      <w:start w:val="1"/>
      <w:numFmt w:val="decimal"/>
      <w:lvlText w:val="$"/>
      <w:lvlJc w:val="left"/>
      <w:pPr>
        <w:ind w:left="0" w:firstLine="0"/>
      </w:pPr>
      <w:rPr>
        <w:rFonts w:ascii="Noto Sans Symbols" w:eastAsia="Noto Sans Symbols" w:hAnsi="Noto Sans Symbols" w:cs="Noto Sans Symbols"/>
        <w:vertAlign w:val="baseline"/>
      </w:rPr>
    </w:lvl>
    <w:lvl w:ilvl="8">
      <w:start w:val="1"/>
      <w:numFmt w:val="decimal"/>
      <w:lvlText w:val="$"/>
      <w:lvlJc w:val="left"/>
      <w:pPr>
        <w:ind w:left="0" w:firstLine="0"/>
      </w:pPr>
      <w:rPr>
        <w:rFonts w:ascii="Noto Sans Symbols" w:eastAsia="Noto Sans Symbols" w:hAnsi="Noto Sans Symbols" w:cs="Noto Sans Symbols"/>
        <w:vertAlign w:val="baseline"/>
      </w:rPr>
    </w:lvl>
  </w:abstractNum>
  <w:abstractNum w:abstractNumId="27"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1"/>
  </w:num>
  <w:num w:numId="4">
    <w:abstractNumId w:val="17"/>
  </w:num>
  <w:num w:numId="5">
    <w:abstractNumId w:val="2"/>
  </w:num>
  <w:num w:numId="6">
    <w:abstractNumId w:val="16"/>
  </w:num>
  <w:num w:numId="7">
    <w:abstractNumId w:val="9"/>
  </w:num>
  <w:num w:numId="8">
    <w:abstractNumId w:val="10"/>
  </w:num>
  <w:num w:numId="9">
    <w:abstractNumId w:val="13"/>
  </w:num>
  <w:num w:numId="10">
    <w:abstractNumId w:val="12"/>
  </w:num>
  <w:num w:numId="11">
    <w:abstractNumId w:val="4"/>
  </w:num>
  <w:num w:numId="12">
    <w:abstractNumId w:val="24"/>
  </w:num>
  <w:num w:numId="13">
    <w:abstractNumId w:val="21"/>
  </w:num>
  <w:num w:numId="14">
    <w:abstractNumId w:val="0"/>
  </w:num>
  <w:num w:numId="15">
    <w:abstractNumId w:val="18"/>
  </w:num>
  <w:num w:numId="16">
    <w:abstractNumId w:val="15"/>
  </w:num>
  <w:num w:numId="17">
    <w:abstractNumId w:val="8"/>
  </w:num>
  <w:num w:numId="18">
    <w:abstractNumId w:val="25"/>
  </w:num>
  <w:num w:numId="19">
    <w:abstractNumId w:val="29"/>
  </w:num>
  <w:num w:numId="20">
    <w:abstractNumId w:val="6"/>
  </w:num>
  <w:num w:numId="21">
    <w:abstractNumId w:val="20"/>
  </w:num>
  <w:num w:numId="22">
    <w:abstractNumId w:val="19"/>
  </w:num>
  <w:num w:numId="23">
    <w:abstractNumId w:val="22"/>
  </w:num>
  <w:num w:numId="24">
    <w:abstractNumId w:val="3"/>
  </w:num>
  <w:num w:numId="25">
    <w:abstractNumId w:val="5"/>
  </w:num>
  <w:num w:numId="26">
    <w:abstractNumId w:val="14"/>
  </w:num>
  <w:num w:numId="27">
    <w:abstractNumId w:val="28"/>
  </w:num>
  <w:num w:numId="28">
    <w:abstractNumId w:val="7"/>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103DF5"/>
    <w:rsid w:val="00146AF8"/>
    <w:rsid w:val="001B4062"/>
    <w:rsid w:val="002405A4"/>
    <w:rsid w:val="0025124F"/>
    <w:rsid w:val="00256B0A"/>
    <w:rsid w:val="002740EA"/>
    <w:rsid w:val="002D0648"/>
    <w:rsid w:val="00330E5B"/>
    <w:rsid w:val="00386FD5"/>
    <w:rsid w:val="003E3397"/>
    <w:rsid w:val="00484024"/>
    <w:rsid w:val="004B2282"/>
    <w:rsid w:val="004B32D7"/>
    <w:rsid w:val="004C7E08"/>
    <w:rsid w:val="005D5601"/>
    <w:rsid w:val="00652FA2"/>
    <w:rsid w:val="006670F2"/>
    <w:rsid w:val="007024D7"/>
    <w:rsid w:val="007460FA"/>
    <w:rsid w:val="007C32C6"/>
    <w:rsid w:val="00852E03"/>
    <w:rsid w:val="00894F53"/>
    <w:rsid w:val="008A169D"/>
    <w:rsid w:val="00906B0F"/>
    <w:rsid w:val="00975747"/>
    <w:rsid w:val="00A32B0C"/>
    <w:rsid w:val="00A76E1C"/>
    <w:rsid w:val="00B078B7"/>
    <w:rsid w:val="00B10748"/>
    <w:rsid w:val="00C12BC5"/>
    <w:rsid w:val="00C1311D"/>
    <w:rsid w:val="00C32373"/>
    <w:rsid w:val="00C868C6"/>
    <w:rsid w:val="00C90A49"/>
    <w:rsid w:val="00D20BA4"/>
    <w:rsid w:val="00D91413"/>
    <w:rsid w:val="00DC7D83"/>
    <w:rsid w:val="00E636A6"/>
    <w:rsid w:val="00E8144E"/>
    <w:rsid w:val="00F22FB9"/>
    <w:rsid w:val="00F273CA"/>
    <w:rsid w:val="00F328F2"/>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E4B824A"/>
  <w15:chartTrackingRefBased/>
  <w15:docId w15:val="{A399E2BC-7514-4CE9-83E6-F0930BFC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A92408"/>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272">
      <w:bodyDiv w:val="1"/>
      <w:marLeft w:val="0"/>
      <w:marRight w:val="0"/>
      <w:marTop w:val="0"/>
      <w:marBottom w:val="0"/>
      <w:divBdr>
        <w:top w:val="none" w:sz="0" w:space="0" w:color="auto"/>
        <w:left w:val="none" w:sz="0" w:space="0" w:color="auto"/>
        <w:bottom w:val="none" w:sz="0" w:space="0" w:color="auto"/>
        <w:right w:val="none" w:sz="0" w:space="0" w:color="auto"/>
      </w:divBdr>
    </w:div>
    <w:div w:id="6364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1244</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8296</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Public Policy Academic Assessment Plan</dc:title>
  <dc:subject/>
  <dc:creator>Megan Carlson</dc:creator>
  <cp:keywords/>
  <cp:lastModifiedBy>Megan Carlson</cp:lastModifiedBy>
  <cp:revision>4</cp:revision>
  <cp:lastPrinted>2013-05-01T22:28:00Z</cp:lastPrinted>
  <dcterms:created xsi:type="dcterms:W3CDTF">2025-04-16T22:21:00Z</dcterms:created>
  <dcterms:modified xsi:type="dcterms:W3CDTF">2025-05-01T19:42:00Z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686e981d-07e8-485f-8fb5-25638d8cb9ce</vt:lpwstr>
  </property>
</Properties>
</file>